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ind w:firstLine="0" w:firstLineChars="0"/>
        <w:contextualSpacing/>
        <w:rPr>
          <w:rFonts w:ascii="华文仿宋" w:hAnsi="华文仿宋" w:eastAsia="华文仿宋" w:cs="黑体"/>
          <w:bCs/>
          <w:szCs w:val="32"/>
        </w:rPr>
      </w:pPr>
      <w:bookmarkStart w:id="0" w:name="OLE_LINK5"/>
      <w:r>
        <w:rPr>
          <w:rFonts w:hint="eastAsia" w:ascii="华文仿宋" w:hAnsi="华文仿宋" w:eastAsia="华文仿宋" w:cs="黑体"/>
          <w:bCs/>
          <w:szCs w:val="32"/>
        </w:rPr>
        <w:t>附件2</w:t>
      </w:r>
    </w:p>
    <w:p>
      <w:pPr>
        <w:pStyle w:val="2"/>
        <w:snapToGrid/>
        <w:spacing w:before="312" w:after="312"/>
        <w:contextualSpacing/>
        <w:rPr>
          <w:rFonts w:hint="eastAsia"/>
          <w:u w:val="single"/>
        </w:rPr>
      </w:pPr>
      <w:bookmarkStart w:id="1" w:name="_Toc317683258"/>
      <w:bookmarkStart w:id="2" w:name="_Toc318811828"/>
    </w:p>
    <w:p>
      <w:pPr>
        <w:pStyle w:val="2"/>
        <w:snapToGrid/>
        <w:spacing w:before="312" w:after="312"/>
        <w:contextualSpacing/>
        <w:rPr>
          <w:rFonts w:hint="eastAsia"/>
          <w:u w:val="single"/>
        </w:rPr>
      </w:pPr>
    </w:p>
    <w:p>
      <w:pPr>
        <w:ind w:firstLine="640"/>
        <w:rPr>
          <w:rFonts w:hint="eastAsia"/>
        </w:rPr>
      </w:pPr>
    </w:p>
    <w:p>
      <w:pPr>
        <w:pStyle w:val="2"/>
        <w:snapToGrid/>
        <w:spacing w:before="312" w:after="312"/>
        <w:contextualSpacing/>
        <w:rPr>
          <w:rFonts w:hint="eastAsia"/>
        </w:rPr>
      </w:pPr>
      <w:bookmarkStart w:id="3" w:name="_Toc2655"/>
      <w:bookmarkStart w:id="4" w:name="_Toc15942"/>
      <w:bookmarkStart w:id="5" w:name="_Toc383080236"/>
      <w:bookmarkStart w:id="6" w:name="_Toc378234671"/>
      <w:r>
        <w:rPr>
          <w:rFonts w:hint="eastAsia"/>
          <w:u w:val="single"/>
        </w:rPr>
        <w:t>（××单位）</w:t>
      </w:r>
      <w:r>
        <w:rPr>
          <w:rFonts w:hint="eastAsia"/>
        </w:rPr>
        <w:t>企业年金方案</w:t>
      </w:r>
      <w:bookmarkEnd w:id="1"/>
      <w:bookmarkEnd w:id="2"/>
      <w:bookmarkEnd w:id="3"/>
      <w:bookmarkEnd w:id="4"/>
      <w:r>
        <w:rPr>
          <w:rFonts w:hint="eastAsia"/>
        </w:rPr>
        <w:t>实施细则</w:t>
      </w:r>
      <w:bookmarkEnd w:id="5"/>
      <w:bookmarkEnd w:id="6"/>
    </w:p>
    <w:bookmarkEnd w:id="0"/>
    <w:p>
      <w:pPr>
        <w:snapToGrid/>
        <w:ind w:left="640" w:firstLine="0" w:firstLineChars="0"/>
        <w:contextualSpacing/>
        <w:jc w:val="center"/>
        <w:rPr>
          <w:rFonts w:ascii="楷体_GB2312" w:hAnsi="楷体_GB2312" w:eastAsia="楷体_GB2312" w:cs="楷体_GB2312"/>
          <w:b/>
          <w:bCs/>
          <w:szCs w:val="32"/>
        </w:rPr>
      </w:pPr>
      <w:r>
        <w:rPr>
          <w:rFonts w:hint="eastAsia" w:ascii="楷体_GB2312" w:hAnsi="楷体_GB2312" w:eastAsia="楷体_GB2312" w:cs="楷体_GB2312"/>
          <w:b/>
          <w:bCs/>
          <w:szCs w:val="32"/>
        </w:rPr>
        <w:t>（范本）</w:t>
      </w:r>
    </w:p>
    <w:p>
      <w:pPr>
        <w:snapToGrid/>
        <w:ind w:left="640" w:firstLine="0" w:firstLineChars="0"/>
        <w:contextualSpacing/>
        <w:rPr>
          <w:rFonts w:hint="eastAsia"/>
        </w:rPr>
      </w:pPr>
    </w:p>
    <w:p>
      <w:pPr>
        <w:snapToGrid/>
        <w:ind w:left="640" w:firstLine="0" w:firstLineChars="0"/>
        <w:contextualSpacing/>
        <w:rPr>
          <w:rFonts w:ascii="仿宋_GB2312" w:hAnsi="仿宋_GB2312" w:cs="仿宋_GB2312"/>
          <w:szCs w:val="32"/>
        </w:rPr>
      </w:pPr>
    </w:p>
    <w:p>
      <w:pPr>
        <w:snapToGrid/>
        <w:ind w:left="640" w:firstLine="0" w:firstLineChars="0"/>
        <w:contextualSpacing/>
        <w:rPr>
          <w:rFonts w:ascii="仿宋_GB2312" w:hAnsi="仿宋_GB2312" w:cs="仿宋_GB2312"/>
          <w:szCs w:val="32"/>
        </w:rPr>
      </w:pPr>
    </w:p>
    <w:p>
      <w:pPr>
        <w:snapToGrid/>
        <w:ind w:left="640" w:firstLine="0" w:firstLineChars="0"/>
        <w:contextualSpacing/>
        <w:rPr>
          <w:rFonts w:ascii="仿宋_GB2312" w:hAnsi="仿宋_GB2312" w:cs="仿宋_GB2312"/>
          <w:szCs w:val="32"/>
        </w:rPr>
      </w:pPr>
    </w:p>
    <w:p>
      <w:pPr>
        <w:snapToGrid/>
        <w:ind w:left="640" w:firstLine="0" w:firstLineChars="0"/>
        <w:contextualSpacing/>
        <w:rPr>
          <w:rFonts w:ascii="仿宋_GB2312" w:hAnsi="仿宋_GB2312" w:cs="仿宋_GB2312"/>
          <w:szCs w:val="32"/>
        </w:rPr>
      </w:pPr>
    </w:p>
    <w:p>
      <w:pPr>
        <w:snapToGrid/>
        <w:ind w:left="640" w:firstLine="0" w:firstLineChars="0"/>
        <w:contextualSpacing/>
        <w:rPr>
          <w:rFonts w:ascii="仿宋_GB2312" w:hAnsi="仿宋_GB2312" w:cs="仿宋_GB2312"/>
          <w:szCs w:val="32"/>
        </w:rPr>
      </w:pPr>
    </w:p>
    <w:p>
      <w:pPr>
        <w:snapToGrid/>
        <w:ind w:firstLine="0" w:firstLineChars="0"/>
        <w:contextualSpacing/>
        <w:jc w:val="center"/>
        <w:rPr>
          <w:rFonts w:ascii="仿宋_GB2312" w:hAnsi="仿宋_GB2312" w:cs="仿宋_GB2312"/>
          <w:szCs w:val="32"/>
          <w:u w:val="single"/>
        </w:rPr>
      </w:pPr>
      <w:r>
        <w:rPr>
          <w:rFonts w:hint="eastAsia" w:ascii="仿宋_GB2312" w:hAnsi="仿宋_GB2312" w:cs="仿宋_GB2312"/>
          <w:szCs w:val="32"/>
          <w:u w:val="single"/>
        </w:rPr>
        <w:t>（××单位并盖章）</w:t>
      </w:r>
    </w:p>
    <w:p>
      <w:pPr>
        <w:snapToGrid/>
        <w:ind w:firstLine="0" w:firstLineChars="0"/>
        <w:contextualSpacing/>
        <w:jc w:val="center"/>
        <w:rPr>
          <w:rFonts w:ascii="仿宋_GB2312" w:hAnsi="仿宋_GB2312" w:cs="仿宋_GB2312"/>
          <w:szCs w:val="32"/>
          <w:u w:val="single"/>
        </w:rPr>
      </w:pPr>
    </w:p>
    <w:p>
      <w:pPr>
        <w:snapToGrid/>
        <w:ind w:firstLine="0" w:firstLineChars="0"/>
        <w:contextualSpacing/>
        <w:jc w:val="center"/>
        <w:rPr>
          <w:rFonts w:ascii="仿宋_GB2312" w:hAnsi="仿宋_GB2312" w:cs="仿宋_GB2312"/>
          <w:szCs w:val="32"/>
          <w:u w:val="single"/>
        </w:rPr>
      </w:pPr>
    </w:p>
    <w:p>
      <w:pPr>
        <w:snapToGrid/>
        <w:ind w:left="640" w:firstLine="0" w:firstLineChars="0"/>
        <w:contextualSpacing/>
        <w:rPr>
          <w:rFonts w:ascii="仿宋_GB2312" w:hAnsi="仿宋_GB2312" w:cs="仿宋_GB2312"/>
          <w:szCs w:val="32"/>
        </w:rPr>
      </w:pPr>
    </w:p>
    <w:p>
      <w:pPr>
        <w:snapToGrid/>
        <w:ind w:left="640" w:firstLine="0" w:firstLineChars="0"/>
        <w:contextualSpacing/>
        <w:rPr>
          <w:rFonts w:ascii="仿宋_GB2312" w:hAnsi="仿宋_GB2312" w:cs="仿宋_GB2312"/>
          <w:szCs w:val="32"/>
        </w:rPr>
      </w:pPr>
      <w:r>
        <w:rPr>
          <w:rFonts w:hint="eastAsia" w:ascii="仿宋_GB2312" w:hAnsi="仿宋_GB2312" w:cs="仿宋_GB2312"/>
          <w:szCs w:val="32"/>
        </w:rPr>
        <w:t>企业首席代表                  职工首席代表</w:t>
      </w:r>
    </w:p>
    <w:p>
      <w:pPr>
        <w:snapToGrid/>
        <w:ind w:left="640" w:firstLine="0" w:firstLineChars="0"/>
        <w:contextualSpacing/>
        <w:rPr>
          <w:rFonts w:ascii="仿宋_GB2312" w:hAnsi="仿宋_GB2312" w:cs="仿宋_GB2312"/>
          <w:szCs w:val="32"/>
        </w:rPr>
      </w:pPr>
      <w:r>
        <w:rPr>
          <w:rFonts w:hint="eastAsia" w:ascii="仿宋_GB2312" w:hAnsi="仿宋_GB2312" w:cs="仿宋_GB2312"/>
          <w:szCs w:val="32"/>
        </w:rPr>
        <w:t>签章：                        签章：</w:t>
      </w:r>
    </w:p>
    <w:p>
      <w:pPr>
        <w:snapToGrid/>
        <w:ind w:left="640" w:firstLine="0" w:firstLineChars="0"/>
        <w:contextualSpacing/>
        <w:rPr>
          <w:rFonts w:ascii="仿宋_GB2312" w:hAnsi="仿宋_GB2312" w:cs="仿宋_GB2312"/>
          <w:szCs w:val="32"/>
        </w:rPr>
      </w:pPr>
      <w:r>
        <w:rPr>
          <w:rFonts w:hint="eastAsia" w:ascii="仿宋_GB2312" w:hAnsi="仿宋_GB2312" w:cs="仿宋_GB2312"/>
          <w:szCs w:val="32"/>
        </w:rPr>
        <w:t>日期：                        日期：</w:t>
      </w:r>
    </w:p>
    <w:p>
      <w:pPr>
        <w:snapToGrid/>
        <w:ind w:left="640" w:firstLine="0" w:firstLineChars="0"/>
        <w:contextualSpacing/>
        <w:rPr>
          <w:rFonts w:hint="eastAsia"/>
        </w:rPr>
      </w:pPr>
    </w:p>
    <w:p>
      <w:pPr>
        <w:snapToGrid/>
        <w:ind w:left="640" w:leftChars="200" w:firstLine="0" w:firstLineChars="0"/>
        <w:contextualSpacing/>
        <w:jc w:val="center"/>
        <w:rPr>
          <w:rFonts w:hint="eastAsia" w:ascii="仿宋_GB2312" w:cs="黑体"/>
          <w:kern w:val="2"/>
          <w:sz w:val="21"/>
          <w:szCs w:val="22"/>
        </w:rPr>
      </w:pPr>
      <w:bookmarkStart w:id="7" w:name="_Toc318811829"/>
      <w:bookmarkStart w:id="8" w:name="_Toc243825262"/>
      <w:bookmarkStart w:id="9" w:name="_Toc238376844"/>
      <w:r>
        <w:rPr>
          <w:rFonts w:hint="eastAsia" w:ascii="黑体" w:hAnsi="黑体" w:eastAsia="黑体" w:cs="黑体"/>
          <w:b/>
          <w:szCs w:val="32"/>
        </w:rPr>
        <w:t>目  录</w:t>
      </w:r>
      <w:bookmarkEnd w:id="7"/>
      <w:r>
        <w:rPr>
          <w:rFonts w:hint="eastAsia"/>
          <w:b/>
        </w:rPr>
        <w:fldChar w:fldCharType="begin"/>
      </w:r>
      <w:r>
        <w:rPr>
          <w:rFonts w:hint="eastAsia"/>
          <w:b/>
        </w:rPr>
        <w:instrText xml:space="preserve">TOC \o "1-3" \h  \u </w:instrText>
      </w:r>
      <w:r>
        <w:rPr>
          <w:rFonts w:hint="eastAsia"/>
          <w:b/>
        </w:rPr>
        <w:fldChar w:fldCharType="separate"/>
      </w:r>
    </w:p>
    <w:p>
      <w:pPr>
        <w:ind w:firstLine="640"/>
        <w:rPr>
          <w:rFonts w:hint="eastAsia"/>
        </w:rPr>
      </w:pP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"_Toc383080237" </w:instrText>
      </w:r>
      <w:r>
        <w:fldChar w:fldCharType="separate"/>
      </w:r>
      <w:r>
        <w:rPr>
          <w:rStyle w:val="28"/>
          <w:rFonts w:hint="eastAsia" w:ascii="仿宋_GB2312"/>
        </w:rPr>
        <w:t>释义</w:t>
      </w:r>
      <w:r>
        <w:rPr>
          <w:rFonts w:hint="eastAsia" w:ascii="仿宋_GB2312"/>
        </w:rPr>
        <w:tab/>
      </w:r>
      <w:r>
        <w:rPr>
          <w:rFonts w:hint="eastAsia" w:ascii="仿宋_GB2312"/>
        </w:rPr>
        <w:fldChar w:fldCharType="begin"/>
      </w:r>
      <w:r>
        <w:rPr>
          <w:rFonts w:hint="eastAsia" w:ascii="仿宋_GB2312"/>
        </w:rPr>
        <w:instrText xml:space="preserve"> PAGEREF _Toc383080237 \h </w:instrText>
      </w:r>
      <w:r>
        <w:rPr>
          <w:rFonts w:hint="eastAsia" w:ascii="仿宋_GB2312"/>
        </w:rPr>
        <w:fldChar w:fldCharType="separate"/>
      </w:r>
      <w:r>
        <w:rPr>
          <w:rFonts w:ascii="仿宋_GB2312"/>
        </w:rPr>
        <w:t>1</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"_Toc383080238" </w:instrText>
      </w:r>
      <w:r>
        <w:fldChar w:fldCharType="separate"/>
      </w:r>
      <w:r>
        <w:rPr>
          <w:rStyle w:val="28"/>
          <w:rFonts w:hint="eastAsia" w:ascii="仿宋_GB2312"/>
        </w:rPr>
        <w:t>第一章  总则</w:t>
      </w:r>
      <w:r>
        <w:rPr>
          <w:rFonts w:hint="eastAsia" w:ascii="仿宋_GB2312"/>
        </w:rPr>
        <w:tab/>
      </w:r>
      <w:r>
        <w:rPr>
          <w:rFonts w:hint="eastAsia" w:ascii="仿宋_GB2312"/>
        </w:rPr>
        <w:fldChar w:fldCharType="begin"/>
      </w:r>
      <w:r>
        <w:rPr>
          <w:rFonts w:hint="eastAsia" w:ascii="仿宋_GB2312"/>
        </w:rPr>
        <w:instrText xml:space="preserve"> PAGEREF _Toc383080238 \h </w:instrText>
      </w:r>
      <w:r>
        <w:rPr>
          <w:rFonts w:hint="eastAsia" w:ascii="仿宋_GB2312"/>
        </w:rPr>
        <w:fldChar w:fldCharType="separate"/>
      </w:r>
      <w:r>
        <w:rPr>
          <w:rFonts w:ascii="仿宋_GB2312"/>
        </w:rPr>
        <w:t>2</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"_Toc383080239" </w:instrText>
      </w:r>
      <w:r>
        <w:fldChar w:fldCharType="separate"/>
      </w:r>
      <w:r>
        <w:rPr>
          <w:rStyle w:val="28"/>
          <w:rFonts w:hint="eastAsia" w:ascii="仿宋_GB2312"/>
        </w:rPr>
        <w:t>第二章  参加人员</w:t>
      </w:r>
      <w:r>
        <w:rPr>
          <w:rFonts w:hint="eastAsia" w:ascii="仿宋_GB2312"/>
        </w:rPr>
        <w:tab/>
      </w:r>
      <w:r>
        <w:rPr>
          <w:rFonts w:hint="eastAsia" w:ascii="仿宋_GB2312"/>
        </w:rPr>
        <w:fldChar w:fldCharType="begin"/>
      </w:r>
      <w:r>
        <w:rPr>
          <w:rFonts w:hint="eastAsia" w:ascii="仿宋_GB2312"/>
        </w:rPr>
        <w:instrText xml:space="preserve"> PAGEREF _Toc383080239 \h </w:instrText>
      </w:r>
      <w:r>
        <w:rPr>
          <w:rFonts w:hint="eastAsia" w:ascii="仿宋_GB2312"/>
        </w:rPr>
        <w:fldChar w:fldCharType="separate"/>
      </w:r>
      <w:r>
        <w:rPr>
          <w:rFonts w:ascii="仿宋_GB2312"/>
        </w:rPr>
        <w:t>3</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"_Toc383080240" </w:instrText>
      </w:r>
      <w:r>
        <w:fldChar w:fldCharType="separate"/>
      </w:r>
      <w:r>
        <w:rPr>
          <w:rStyle w:val="28"/>
          <w:rFonts w:hint="eastAsia" w:ascii="仿宋_GB2312"/>
        </w:rPr>
        <w:t>第三章  资金筹集与分配</w:t>
      </w:r>
      <w:r>
        <w:rPr>
          <w:rFonts w:hint="eastAsia" w:ascii="仿宋_GB2312"/>
        </w:rPr>
        <w:tab/>
      </w:r>
      <w:r>
        <w:rPr>
          <w:rFonts w:hint="eastAsia" w:ascii="仿宋_GB2312"/>
        </w:rPr>
        <w:fldChar w:fldCharType="begin"/>
      </w:r>
      <w:r>
        <w:rPr>
          <w:rFonts w:hint="eastAsia" w:ascii="仿宋_GB2312"/>
        </w:rPr>
        <w:instrText xml:space="preserve"> PAGEREF _Toc383080240 \h </w:instrText>
      </w:r>
      <w:r>
        <w:rPr>
          <w:rFonts w:hint="eastAsia" w:ascii="仿宋_GB2312"/>
        </w:rPr>
        <w:fldChar w:fldCharType="separate"/>
      </w:r>
      <w:r>
        <w:rPr>
          <w:rFonts w:ascii="仿宋_GB2312"/>
        </w:rPr>
        <w:t>5</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"_Toc383080241" </w:instrText>
      </w:r>
      <w:r>
        <w:fldChar w:fldCharType="separate"/>
      </w:r>
      <w:r>
        <w:rPr>
          <w:rStyle w:val="28"/>
          <w:rFonts w:hint="eastAsia" w:ascii="仿宋_GB2312"/>
        </w:rPr>
        <w:t>第四章  账户管理</w:t>
      </w:r>
      <w:r>
        <w:rPr>
          <w:rFonts w:hint="eastAsia" w:ascii="仿宋_GB2312"/>
        </w:rPr>
        <w:tab/>
      </w:r>
      <w:r>
        <w:rPr>
          <w:rFonts w:hint="eastAsia" w:ascii="仿宋_GB2312"/>
        </w:rPr>
        <w:t>8</w:t>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"_Toc383080242" </w:instrText>
      </w:r>
      <w:r>
        <w:fldChar w:fldCharType="separate"/>
      </w:r>
      <w:r>
        <w:rPr>
          <w:rStyle w:val="28"/>
          <w:rFonts w:hint="eastAsia" w:ascii="仿宋_GB2312"/>
        </w:rPr>
        <w:t>第五章  权益归属</w:t>
      </w:r>
      <w:r>
        <w:rPr>
          <w:rFonts w:hint="eastAsia" w:ascii="仿宋_GB2312"/>
        </w:rPr>
        <w:tab/>
      </w:r>
      <w:r>
        <w:rPr>
          <w:rFonts w:hint="eastAsia" w:ascii="仿宋_GB2312"/>
        </w:rPr>
        <w:fldChar w:fldCharType="begin"/>
      </w:r>
      <w:r>
        <w:rPr>
          <w:rFonts w:hint="eastAsia" w:ascii="仿宋_GB2312"/>
        </w:rPr>
        <w:instrText xml:space="preserve"> PAGEREF _Toc383080242 \h </w:instrText>
      </w:r>
      <w:r>
        <w:rPr>
          <w:rFonts w:hint="eastAsia" w:ascii="仿宋_GB2312"/>
        </w:rPr>
        <w:fldChar w:fldCharType="separate"/>
      </w:r>
      <w:r>
        <w:rPr>
          <w:rFonts w:ascii="仿宋_GB2312"/>
        </w:rPr>
        <w:t>9</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"_Toc383080243" </w:instrText>
      </w:r>
      <w:r>
        <w:fldChar w:fldCharType="separate"/>
      </w:r>
      <w:r>
        <w:rPr>
          <w:rStyle w:val="28"/>
          <w:rFonts w:hint="eastAsia" w:ascii="仿宋_GB2312"/>
        </w:rPr>
        <w:t>第六章  基金管理</w:t>
      </w:r>
      <w:r>
        <w:rPr>
          <w:rFonts w:hint="eastAsia" w:ascii="仿宋_GB2312"/>
        </w:rPr>
        <w:tab/>
      </w:r>
      <w:r>
        <w:rPr>
          <w:rFonts w:hint="eastAsia" w:ascii="仿宋_GB2312"/>
        </w:rPr>
        <w:fldChar w:fldCharType="begin"/>
      </w:r>
      <w:r>
        <w:rPr>
          <w:rFonts w:hint="eastAsia" w:ascii="仿宋_GB2312"/>
        </w:rPr>
        <w:instrText xml:space="preserve"> PAGEREF _Toc383080243 \h </w:instrText>
      </w:r>
      <w:r>
        <w:rPr>
          <w:rFonts w:hint="eastAsia" w:ascii="仿宋_GB2312"/>
        </w:rPr>
        <w:fldChar w:fldCharType="separate"/>
      </w:r>
      <w:r>
        <w:rPr>
          <w:rFonts w:ascii="仿宋_GB2312"/>
        </w:rPr>
        <w:t>1</w:t>
      </w:r>
      <w:r>
        <w:rPr>
          <w:rFonts w:hint="eastAsia" w:ascii="仿宋_GB2312"/>
        </w:rPr>
        <w:t>1</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"_Toc383080244" </w:instrText>
      </w:r>
      <w:r>
        <w:fldChar w:fldCharType="separate"/>
      </w:r>
      <w:r>
        <w:rPr>
          <w:rStyle w:val="28"/>
          <w:rFonts w:hint="eastAsia" w:ascii="仿宋_GB2312"/>
        </w:rPr>
        <w:t>第七章  待遇计发和支付方式</w:t>
      </w:r>
      <w:r>
        <w:rPr>
          <w:rFonts w:hint="eastAsia" w:ascii="仿宋_GB2312"/>
        </w:rPr>
        <w:tab/>
      </w:r>
      <w:r>
        <w:rPr>
          <w:rFonts w:hint="eastAsia" w:ascii="仿宋_GB2312"/>
        </w:rPr>
        <w:fldChar w:fldCharType="begin"/>
      </w:r>
      <w:r>
        <w:rPr>
          <w:rFonts w:hint="eastAsia" w:ascii="仿宋_GB2312"/>
        </w:rPr>
        <w:instrText xml:space="preserve"> PAGEREF _Toc383080244 \h </w:instrText>
      </w:r>
      <w:r>
        <w:rPr>
          <w:rFonts w:hint="eastAsia" w:ascii="仿宋_GB2312"/>
        </w:rPr>
        <w:fldChar w:fldCharType="separate"/>
      </w:r>
      <w:r>
        <w:rPr>
          <w:rFonts w:ascii="仿宋_GB2312"/>
        </w:rPr>
        <w:t>12</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"_Toc383080245" </w:instrText>
      </w:r>
      <w:r>
        <w:fldChar w:fldCharType="separate"/>
      </w:r>
      <w:r>
        <w:rPr>
          <w:rStyle w:val="28"/>
          <w:rFonts w:hint="eastAsia" w:ascii="仿宋_GB2312"/>
        </w:rPr>
        <w:t>第八章  细则的调整和终止</w:t>
      </w:r>
      <w:r>
        <w:rPr>
          <w:rFonts w:hint="eastAsia" w:ascii="仿宋_GB2312"/>
        </w:rPr>
        <w:tab/>
      </w:r>
      <w:r>
        <w:rPr>
          <w:rFonts w:hint="eastAsia" w:ascii="仿宋_GB2312"/>
        </w:rPr>
        <w:fldChar w:fldCharType="begin"/>
      </w:r>
      <w:r>
        <w:rPr>
          <w:rFonts w:hint="eastAsia" w:ascii="仿宋_GB2312"/>
        </w:rPr>
        <w:instrText xml:space="preserve"> PAGEREF _Toc383080245 \h </w:instrText>
      </w:r>
      <w:r>
        <w:rPr>
          <w:rFonts w:hint="eastAsia" w:ascii="仿宋_GB2312"/>
        </w:rPr>
        <w:fldChar w:fldCharType="separate"/>
      </w:r>
      <w:r>
        <w:rPr>
          <w:rFonts w:ascii="仿宋_GB2312"/>
        </w:rPr>
        <w:t>12</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"_Toc383080246" </w:instrText>
      </w:r>
      <w:r>
        <w:fldChar w:fldCharType="separate"/>
      </w:r>
      <w:r>
        <w:rPr>
          <w:rStyle w:val="28"/>
          <w:rFonts w:hint="eastAsia" w:ascii="仿宋_GB2312"/>
        </w:rPr>
        <w:t>第九章  组织管理和监督</w:t>
      </w:r>
      <w:r>
        <w:rPr>
          <w:rFonts w:hint="eastAsia" w:ascii="仿宋_GB2312"/>
        </w:rPr>
        <w:tab/>
      </w:r>
      <w:r>
        <w:rPr>
          <w:rFonts w:hint="eastAsia" w:ascii="仿宋_GB2312"/>
        </w:rPr>
        <w:fldChar w:fldCharType="begin"/>
      </w:r>
      <w:r>
        <w:rPr>
          <w:rFonts w:hint="eastAsia" w:ascii="仿宋_GB2312"/>
        </w:rPr>
        <w:instrText xml:space="preserve"> PAGEREF _Toc383080246 \h </w:instrText>
      </w:r>
      <w:r>
        <w:rPr>
          <w:rFonts w:hint="eastAsia" w:ascii="仿宋_GB2312"/>
        </w:rPr>
        <w:fldChar w:fldCharType="separate"/>
      </w:r>
      <w:r>
        <w:rPr>
          <w:rFonts w:ascii="仿宋_GB2312"/>
        </w:rPr>
        <w:t>14</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"_Toc383080247" </w:instrText>
      </w:r>
      <w:r>
        <w:fldChar w:fldCharType="separate"/>
      </w:r>
      <w:r>
        <w:rPr>
          <w:rStyle w:val="28"/>
          <w:rFonts w:hint="eastAsia" w:ascii="仿宋_GB2312"/>
        </w:rPr>
        <w:t>第十章  附则</w:t>
      </w:r>
      <w:r>
        <w:rPr>
          <w:rFonts w:hint="eastAsia" w:ascii="仿宋_GB2312"/>
        </w:rPr>
        <w:tab/>
      </w:r>
      <w:r>
        <w:rPr>
          <w:rFonts w:hint="eastAsia" w:ascii="仿宋_GB2312"/>
        </w:rPr>
        <w:fldChar w:fldCharType="begin"/>
      </w:r>
      <w:r>
        <w:rPr>
          <w:rFonts w:hint="eastAsia" w:ascii="仿宋_GB2312"/>
        </w:rPr>
        <w:instrText xml:space="preserve"> PAGEREF _Toc383080247 \h </w:instrText>
      </w:r>
      <w:r>
        <w:rPr>
          <w:rFonts w:hint="eastAsia" w:ascii="仿宋_GB2312"/>
        </w:rPr>
        <w:fldChar w:fldCharType="separate"/>
      </w:r>
      <w:r>
        <w:rPr>
          <w:rFonts w:ascii="仿宋_GB2312"/>
        </w:rPr>
        <w:t>1</w:t>
      </w:r>
      <w:r>
        <w:rPr>
          <w:rFonts w:hint="eastAsia" w:ascii="仿宋_GB2312"/>
        </w:rPr>
        <w:t>4</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ascii="仿宋_GB2312" w:cs="黑体"/>
          <w:kern w:val="2"/>
          <w:sz w:val="21"/>
          <w:szCs w:val="22"/>
        </w:rPr>
      </w:pPr>
      <w:r>
        <w:fldChar w:fldCharType="begin"/>
      </w:r>
      <w:r>
        <w:instrText xml:space="preserve"> HYPERLINK \l "_Toc383080248" </w:instrText>
      </w:r>
      <w:r>
        <w:fldChar w:fldCharType="separate"/>
      </w:r>
      <w:r>
        <w:rPr>
          <w:rStyle w:val="28"/>
          <w:rFonts w:hint="eastAsia" w:ascii="仿宋_GB2312"/>
        </w:rPr>
        <w:t>附件①：职工参加企业年金申请表</w:t>
      </w:r>
      <w:r>
        <w:rPr>
          <w:rFonts w:hint="eastAsia" w:ascii="仿宋_GB2312"/>
        </w:rPr>
        <w:tab/>
      </w:r>
      <w:r>
        <w:rPr>
          <w:rFonts w:hint="eastAsia" w:ascii="仿宋_GB2312"/>
        </w:rPr>
        <w:fldChar w:fldCharType="begin"/>
      </w:r>
      <w:r>
        <w:rPr>
          <w:rFonts w:hint="eastAsia" w:ascii="仿宋_GB2312"/>
        </w:rPr>
        <w:instrText xml:space="preserve"> PAGEREF _Toc383080248 \h </w:instrText>
      </w:r>
      <w:r>
        <w:rPr>
          <w:rFonts w:hint="eastAsia" w:ascii="仿宋_GB2312"/>
        </w:rPr>
        <w:fldChar w:fldCharType="separate"/>
      </w:r>
      <w:r>
        <w:rPr>
          <w:rFonts w:ascii="仿宋_GB2312"/>
        </w:rPr>
        <w:t>16</w:t>
      </w:r>
      <w:r>
        <w:rPr>
          <w:rFonts w:hint="eastAsia" w:ascii="仿宋_GB2312"/>
        </w:rPr>
        <w:fldChar w:fldCharType="end"/>
      </w:r>
      <w:r>
        <w:rPr>
          <w:rFonts w:hint="eastAsia" w:ascii="仿宋_GB2312"/>
        </w:rPr>
        <w:fldChar w:fldCharType="end"/>
      </w:r>
    </w:p>
    <w:p>
      <w:pPr>
        <w:pStyle w:val="24"/>
        <w:tabs>
          <w:tab w:val="right" w:leader="dot" w:pos="8302"/>
        </w:tabs>
        <w:snapToGrid/>
        <w:ind w:left="640" w:firstLine="0" w:firstLineChars="0"/>
        <w:contextualSpacing/>
        <w:rPr>
          <w:rFonts w:hint="eastAsia" w:eastAsia="宋体" w:cs="黑体"/>
          <w:kern w:val="2"/>
          <w:sz w:val="21"/>
          <w:szCs w:val="22"/>
        </w:rPr>
      </w:pPr>
      <w:r>
        <w:fldChar w:fldCharType="begin"/>
      </w:r>
      <w:r>
        <w:instrText xml:space="preserve"> HYPERLINK \l "_Toc383080249" </w:instrText>
      </w:r>
      <w:r>
        <w:fldChar w:fldCharType="separate"/>
      </w:r>
      <w:r>
        <w:rPr>
          <w:rStyle w:val="28"/>
          <w:rFonts w:hint="eastAsia" w:ascii="仿宋_GB2312"/>
        </w:rPr>
        <w:t>附件②：</w:t>
      </w:r>
      <w:r>
        <w:rPr>
          <w:rStyle w:val="28"/>
          <w:rFonts w:hint="eastAsia" w:ascii="仿宋_GB2312" w:hAnsi="黑体" w:cs="黑体"/>
        </w:rPr>
        <w:t>职工暂停（恢复）企业年金缴费申请表</w:t>
      </w:r>
      <w:r>
        <w:rPr>
          <w:rFonts w:hint="eastAsia" w:ascii="仿宋_GB2312"/>
        </w:rPr>
        <w:tab/>
      </w:r>
      <w:r>
        <w:rPr>
          <w:rFonts w:hint="eastAsia" w:ascii="仿宋_GB2312"/>
        </w:rPr>
        <w:fldChar w:fldCharType="begin"/>
      </w:r>
      <w:r>
        <w:rPr>
          <w:rFonts w:hint="eastAsia" w:ascii="仿宋_GB2312"/>
        </w:rPr>
        <w:instrText xml:space="preserve"> PAGEREF _Toc383080249 \h </w:instrText>
      </w:r>
      <w:r>
        <w:rPr>
          <w:rFonts w:hint="eastAsia" w:ascii="仿宋_GB2312"/>
        </w:rPr>
        <w:fldChar w:fldCharType="separate"/>
      </w:r>
      <w:r>
        <w:rPr>
          <w:rFonts w:ascii="仿宋_GB2312"/>
        </w:rPr>
        <w:t>17</w:t>
      </w:r>
      <w:r>
        <w:rPr>
          <w:rFonts w:hint="eastAsia" w:ascii="仿宋_GB2312"/>
        </w:rPr>
        <w:fldChar w:fldCharType="end"/>
      </w:r>
      <w:r>
        <w:rPr>
          <w:rFonts w:hint="eastAsia" w:ascii="仿宋_GB2312"/>
        </w:rPr>
        <w:fldChar w:fldCharType="end"/>
      </w:r>
    </w:p>
    <w:p>
      <w:pPr>
        <w:snapToGrid/>
        <w:ind w:firstLine="0" w:firstLineChars="0"/>
        <w:contextualSpacing/>
        <w:rPr>
          <w:rFonts w:hint="eastAsia"/>
        </w:rPr>
      </w:pPr>
      <w:r>
        <w:rPr>
          <w:rFonts w:hint="eastAsia"/>
          <w:kern w:val="2"/>
          <w:szCs w:val="22"/>
        </w:rPr>
        <w:fldChar w:fldCharType="end"/>
      </w:r>
    </w:p>
    <w:p>
      <w:pPr>
        <w:pStyle w:val="4"/>
        <w:snapToGrid/>
        <w:spacing w:before="312" w:after="312"/>
        <w:contextualSpacing/>
        <w:rPr>
          <w:rFonts w:hint="eastAsia"/>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797" w:bottom="1440" w:left="1797" w:header="851" w:footer="992" w:gutter="0"/>
          <w:pgNumType w:start="0"/>
          <w:cols w:space="720" w:num="1"/>
          <w:titlePg/>
          <w:docGrid w:type="lines" w:linePitch="312" w:charSpace="0"/>
        </w:sectPr>
      </w:pPr>
      <w:bookmarkStart w:id="10" w:name="_Toc318811830"/>
    </w:p>
    <w:p>
      <w:pPr>
        <w:snapToGrid/>
        <w:ind w:left="640" w:leftChars="200" w:firstLine="0" w:firstLineChars="0"/>
        <w:contextualSpacing/>
        <w:jc w:val="center"/>
        <w:rPr>
          <w:rFonts w:ascii="黑体" w:hAnsi="黑体" w:eastAsia="黑体" w:cs="黑体"/>
          <w:b/>
          <w:szCs w:val="32"/>
        </w:rPr>
      </w:pPr>
      <w:bookmarkStart w:id="11" w:name="_Toc383080237"/>
      <w:r>
        <w:rPr>
          <w:rFonts w:hint="eastAsia" w:ascii="黑体" w:hAnsi="黑体" w:eastAsia="黑体" w:cs="黑体"/>
          <w:b/>
          <w:szCs w:val="32"/>
        </w:rPr>
        <w:t>释  义</w:t>
      </w:r>
      <w:bookmarkEnd w:id="10"/>
      <w:bookmarkEnd w:id="11"/>
    </w:p>
    <w:p>
      <w:pPr>
        <w:snapToGrid/>
        <w:ind w:firstLine="640"/>
        <w:contextualSpacing/>
        <w:rPr>
          <w:rFonts w:ascii="仿宋_GB2312" w:hAnsi="仿宋_GB2312" w:cs="仿宋_GB2312"/>
          <w:szCs w:val="32"/>
        </w:rPr>
      </w:pPr>
      <w:r>
        <w:rPr>
          <w:rFonts w:hint="eastAsia" w:ascii="仿宋_GB2312" w:hAnsi="仿宋_GB2312" w:cs="仿宋_GB2312"/>
          <w:szCs w:val="32"/>
        </w:rPr>
        <w:t>企业年金：指已参加企业职工基本养老保险的单位及其职工，为更好保障职工退休后的生活而建立的补充养老保险制度。</w:t>
      </w:r>
    </w:p>
    <w:p>
      <w:pPr>
        <w:snapToGrid/>
        <w:ind w:firstLine="640"/>
        <w:contextualSpacing/>
        <w:rPr>
          <w:rFonts w:ascii="仿宋_GB2312" w:hAnsi="仿宋_GB2312" w:cs="仿宋_GB2312"/>
          <w:szCs w:val="32"/>
        </w:rPr>
      </w:pPr>
      <w:r>
        <w:rPr>
          <w:rFonts w:hint="eastAsia" w:ascii="仿宋_GB2312" w:hAnsi="仿宋_GB2312" w:cs="仿宋_GB2312"/>
          <w:szCs w:val="32"/>
        </w:rPr>
        <w:t>委托人：指建立企业年金的单位及其职工。</w:t>
      </w:r>
    </w:p>
    <w:p>
      <w:pPr>
        <w:snapToGrid/>
        <w:ind w:firstLine="640"/>
        <w:contextualSpacing/>
        <w:rPr>
          <w:rFonts w:ascii="仿宋_GB2312" w:hAnsi="仿宋_GB2312" w:cs="仿宋_GB2312"/>
          <w:szCs w:val="32"/>
        </w:rPr>
      </w:pPr>
      <w:r>
        <w:rPr>
          <w:rFonts w:hint="eastAsia" w:ascii="仿宋_GB2312" w:hAnsi="仿宋_GB2312" w:cs="仿宋_GB2312"/>
          <w:szCs w:val="32"/>
        </w:rPr>
        <w:t>受益人：参加企业年金计划的职工及其他享有企业年金计划受益权的自然人。</w:t>
      </w:r>
    </w:p>
    <w:p>
      <w:pPr>
        <w:snapToGrid/>
        <w:ind w:firstLine="640"/>
        <w:contextualSpacing/>
        <w:rPr>
          <w:rFonts w:ascii="仿宋_GB2312" w:hAnsi="仿宋_GB2312" w:cs="仿宋_GB2312"/>
          <w:szCs w:val="32"/>
        </w:rPr>
      </w:pPr>
      <w:r>
        <w:rPr>
          <w:rFonts w:hint="eastAsia" w:ascii="仿宋_GB2312" w:hAnsi="仿宋_GB2312" w:cs="仿宋_GB2312"/>
          <w:szCs w:val="32"/>
        </w:rPr>
        <w:t>受托人：指受托管理本单位企业年金基金的符合国家规定的法人受托机构或企业年金理事会。</w:t>
      </w:r>
    </w:p>
    <w:p>
      <w:pPr>
        <w:snapToGrid/>
        <w:ind w:firstLine="640"/>
        <w:contextualSpacing/>
        <w:rPr>
          <w:rFonts w:ascii="仿宋_GB2312" w:hAnsi="仿宋_GB2312" w:cs="仿宋_GB2312"/>
          <w:szCs w:val="32"/>
        </w:rPr>
      </w:pPr>
      <w:r>
        <w:rPr>
          <w:rFonts w:hint="eastAsia" w:ascii="仿宋_GB2312" w:hAnsi="仿宋_GB2312" w:cs="仿宋_GB2312"/>
          <w:szCs w:val="32"/>
        </w:rPr>
        <w:t>账户管理人：指接受受托人委托管理企业年金基金账户的专业机构。</w:t>
      </w:r>
    </w:p>
    <w:p>
      <w:pPr>
        <w:snapToGrid/>
        <w:ind w:firstLine="640"/>
        <w:contextualSpacing/>
        <w:rPr>
          <w:rFonts w:ascii="仿宋_GB2312" w:hAnsi="仿宋_GB2312" w:cs="仿宋_GB2312"/>
          <w:szCs w:val="32"/>
        </w:rPr>
      </w:pPr>
      <w:r>
        <w:rPr>
          <w:rFonts w:hint="eastAsia" w:ascii="仿宋_GB2312" w:hAnsi="仿宋_GB2312" w:cs="仿宋_GB2312"/>
          <w:szCs w:val="32"/>
        </w:rPr>
        <w:t>托管人：指接受受托人委托保管企业年金基金财产的商业银行。</w:t>
      </w:r>
    </w:p>
    <w:p>
      <w:pPr>
        <w:snapToGrid/>
        <w:ind w:firstLine="640"/>
        <w:contextualSpacing/>
        <w:rPr>
          <w:rFonts w:ascii="仿宋_GB2312" w:hAnsi="仿宋_GB2312" w:cs="仿宋_GB2312"/>
          <w:szCs w:val="32"/>
        </w:rPr>
      </w:pPr>
      <w:r>
        <w:rPr>
          <w:rFonts w:hint="eastAsia" w:ascii="仿宋_GB2312" w:hAnsi="仿宋_GB2312" w:cs="仿宋_GB2312"/>
          <w:szCs w:val="32"/>
        </w:rPr>
        <w:t>投资管理人：指接受受托人委托投资管理企业年金基金财产的专业机构。</w:t>
      </w:r>
    </w:p>
    <w:p>
      <w:pPr>
        <w:snapToGrid/>
        <w:ind w:firstLine="640"/>
        <w:contextualSpacing/>
        <w:rPr>
          <w:rFonts w:ascii="仿宋_GB2312" w:hAnsi="仿宋_GB2312" w:cs="仿宋_GB2312"/>
          <w:szCs w:val="32"/>
        </w:rPr>
      </w:pPr>
      <w:r>
        <w:rPr>
          <w:rFonts w:hint="eastAsia" w:ascii="仿宋_GB2312" w:hAnsi="仿宋_GB2312" w:cs="仿宋_GB2312"/>
          <w:szCs w:val="32"/>
        </w:rPr>
        <w:t>个人账户：指以职工个人名义开立的账户，用于记录分配给职工个人的单位缴费、职工个人缴费及其投资收益。</w:t>
      </w:r>
    </w:p>
    <w:p>
      <w:pPr>
        <w:snapToGrid/>
        <w:ind w:firstLine="640"/>
        <w:contextualSpacing/>
        <w:rPr>
          <w:rFonts w:ascii="仿宋_GB2312" w:hAnsi="仿宋_GB2312" w:cs="仿宋_GB2312"/>
          <w:szCs w:val="32"/>
        </w:rPr>
      </w:pPr>
      <w:r>
        <w:rPr>
          <w:rFonts w:hint="eastAsia" w:ascii="仿宋_GB2312" w:hAnsi="仿宋_GB2312" w:cs="仿宋_GB2312"/>
          <w:szCs w:val="32"/>
        </w:rPr>
        <w:t>企业账户：指以单位名义开立的账户，用于记录暂时未分配至职工个人账户的单位缴费及其投资收益。</w:t>
      </w:r>
    </w:p>
    <w:p>
      <w:pPr>
        <w:snapToGrid/>
        <w:ind w:left="640" w:firstLine="0" w:firstLineChars="0"/>
        <w:contextualSpacing/>
        <w:rPr>
          <w:rFonts w:ascii="仿宋_GB2312" w:hAnsi="仿宋_GB2312" w:cs="仿宋_GB2312"/>
          <w:szCs w:val="32"/>
        </w:rPr>
        <w:sectPr>
          <w:footerReference r:id="rId11" w:type="default"/>
          <w:pgSz w:w="11906" w:h="16838"/>
          <w:pgMar w:top="1440" w:right="1797" w:bottom="1440" w:left="1797" w:header="851" w:footer="992" w:gutter="0"/>
          <w:pgNumType w:start="1"/>
          <w:cols w:space="720" w:num="1"/>
          <w:docGrid w:type="lines" w:linePitch="312" w:charSpace="0"/>
        </w:sectPr>
      </w:pPr>
    </w:p>
    <w:bookmarkEnd w:id="8"/>
    <w:bookmarkEnd w:id="9"/>
    <w:p>
      <w:pPr>
        <w:pStyle w:val="3"/>
        <w:snapToGrid/>
        <w:spacing w:line="360" w:lineRule="auto"/>
        <w:ind w:firstLine="640"/>
        <w:contextualSpacing/>
        <w:jc w:val="center"/>
        <w:rPr>
          <w:rFonts w:ascii="黑体" w:eastAsia="黑体"/>
          <w:b w:val="0"/>
        </w:rPr>
      </w:pPr>
      <w:bookmarkStart w:id="12" w:name="_Toc383080238"/>
      <w:bookmarkStart w:id="13" w:name="_Toc318811831"/>
      <w:r>
        <w:rPr>
          <w:rFonts w:hint="eastAsia" w:ascii="黑体" w:eastAsia="黑体"/>
          <w:b w:val="0"/>
        </w:rPr>
        <w:t>第一章</w:t>
      </w:r>
      <w:r>
        <w:rPr>
          <w:rFonts w:ascii="黑体" w:eastAsia="黑体"/>
          <w:b w:val="0"/>
        </w:rPr>
        <w:t xml:space="preserve">  </w:t>
      </w:r>
      <w:r>
        <w:rPr>
          <w:rFonts w:hint="eastAsia" w:ascii="黑体" w:eastAsia="黑体"/>
          <w:b w:val="0"/>
        </w:rPr>
        <w:t>总则</w:t>
      </w:r>
      <w:bookmarkEnd w:id="12"/>
      <w:bookmarkEnd w:id="13"/>
    </w:p>
    <w:p>
      <w:pPr>
        <w:snapToGrid/>
        <w:ind w:firstLine="643"/>
        <w:contextualSpacing/>
        <w:rPr>
          <w:rFonts w:ascii="仿宋_GB2312" w:hAnsi="仿宋_GB2312" w:cs="仿宋_GB2312"/>
          <w:szCs w:val="32"/>
        </w:rPr>
      </w:pPr>
      <w:r>
        <w:rPr>
          <w:rFonts w:hint="eastAsia" w:ascii="仿宋_GB2312" w:hAnsi="仿宋_GB2312" w:cs="仿宋_GB2312"/>
          <w:b/>
          <w:szCs w:val="32"/>
        </w:rPr>
        <w:t>第一条</w:t>
      </w:r>
      <w:r>
        <w:rPr>
          <w:rFonts w:hint="eastAsia" w:ascii="仿宋_GB2312" w:hAnsi="仿宋_GB2312" w:cs="仿宋_GB2312"/>
          <w:szCs w:val="32"/>
        </w:rPr>
        <w:t xml:space="preserve"> 为保障和提高职工退休后的待遇水平，调动职工的劳动积极性，建立人才长效激励机制，增强单位的凝聚力，促进单位健康持续发展，根据《中华人民共和国劳动法》（中华人民共和国主席令第28号）、《集体合同规定》（劳动和社会保障部令第22号）、《企业年金办法》（劳动和社会保障部令第36号）、《企业年金基金管理办法》（人力资源和社会保障部令第11号）、</w:t>
      </w:r>
      <w:r>
        <w:rPr>
          <w:rFonts w:hint="eastAsia" w:ascii="仿宋_GB2312" w:hAnsi="仿宋_GB2312" w:cs="仿宋_GB2312"/>
          <w:szCs w:val="32"/>
          <w:u w:val="single"/>
        </w:rPr>
        <w:t xml:space="preserve">              </w:t>
      </w:r>
      <w:r>
        <w:rPr>
          <w:rFonts w:hint="eastAsia" w:ascii="仿宋_GB2312" w:hAnsi="仿宋_GB2312" w:cs="仿宋_GB2312"/>
          <w:szCs w:val="32"/>
        </w:rPr>
        <w:t>等法律、法规及政策，</w:t>
      </w:r>
      <w:r>
        <w:rPr>
          <w:rFonts w:hint="eastAsia" w:ascii="仿宋_GB2312" w:hAnsi="仿宋_GB2312" w:cs="仿宋_GB2312"/>
          <w:szCs w:val="32"/>
          <w:u w:val="single"/>
        </w:rPr>
        <w:t>××单位</w:t>
      </w:r>
      <w:r>
        <w:rPr>
          <w:rFonts w:hint="eastAsia" w:ascii="仿宋_GB2312" w:hAnsi="仿宋_GB2312" w:cs="仿宋_GB2312"/>
          <w:szCs w:val="32"/>
        </w:rPr>
        <w:t>（以下简称本单位）决定参加</w:t>
      </w:r>
      <w:r>
        <w:rPr>
          <w:rFonts w:hint="eastAsia" w:ascii="仿宋_GB2312" w:hAnsi="仿宋_GB2312" w:cs="仿宋_GB2312"/>
          <w:szCs w:val="32"/>
          <w:u w:val="single"/>
        </w:rPr>
        <w:t>××单位</w:t>
      </w:r>
      <w:r>
        <w:rPr>
          <w:rStyle w:val="29"/>
          <w:rFonts w:hint="eastAsia" w:ascii="仿宋_GB2312" w:hAnsi="仿宋_GB2312" w:cs="仿宋_GB2312"/>
          <w:szCs w:val="32"/>
          <w:u w:val="single"/>
        </w:rPr>
        <w:footnoteReference w:id="0"/>
      </w:r>
      <w:r>
        <w:rPr>
          <w:rFonts w:hint="eastAsia" w:ascii="仿宋_GB2312" w:hAnsi="仿宋_GB2312" w:cs="仿宋_GB2312"/>
          <w:szCs w:val="32"/>
          <w:u w:val="single"/>
        </w:rPr>
        <w:t>企业年金计划</w:t>
      </w:r>
      <w:r>
        <w:rPr>
          <w:rFonts w:hint="eastAsia" w:ascii="仿宋_GB2312" w:hAnsi="仿宋_GB2312" w:cs="仿宋_GB2312"/>
          <w:szCs w:val="32"/>
        </w:rPr>
        <w:t>（以下简称本计划），在《</w:t>
      </w:r>
      <w:r>
        <w:rPr>
          <w:rFonts w:hint="eastAsia" w:ascii="仿宋_GB2312" w:hAnsi="仿宋_GB2312" w:cs="仿宋_GB2312"/>
          <w:szCs w:val="32"/>
          <w:u w:val="single"/>
        </w:rPr>
        <w:t>××单位企业年金方案》</w:t>
      </w:r>
      <w:r>
        <w:rPr>
          <w:rFonts w:hint="eastAsia" w:ascii="仿宋_GB2312" w:hAnsi="仿宋_GB2312" w:cs="仿宋_GB2312"/>
          <w:szCs w:val="32"/>
        </w:rPr>
        <w:t>框架下，结合实际情况，制定本单位企业年金方案实施细则（以下简称本细则）。</w:t>
      </w:r>
    </w:p>
    <w:p>
      <w:pPr>
        <w:snapToGrid/>
        <w:ind w:firstLine="643"/>
        <w:contextualSpacing/>
        <w:rPr>
          <w:rFonts w:ascii="仿宋_GB2312" w:hAnsi="仿宋_GB2312" w:cs="仿宋_GB2312"/>
          <w:szCs w:val="32"/>
        </w:rPr>
      </w:pPr>
      <w:r>
        <w:rPr>
          <w:rFonts w:hint="eastAsia" w:ascii="仿宋_GB2312" w:hAnsi="仿宋_GB2312" w:cs="仿宋_GB2312"/>
          <w:b/>
          <w:szCs w:val="32"/>
        </w:rPr>
        <w:t>第二条</w:t>
      </w:r>
      <w:r>
        <w:rPr>
          <w:rFonts w:hint="eastAsia" w:ascii="仿宋_GB2312" w:hAnsi="仿宋_GB2312" w:cs="仿宋_GB2312"/>
          <w:szCs w:val="32"/>
        </w:rPr>
        <w:t xml:space="preserve"> 建立企业年金遵循的原则：</w:t>
      </w:r>
    </w:p>
    <w:p>
      <w:pPr>
        <w:snapToGrid/>
        <w:ind w:firstLine="640"/>
        <w:contextualSpacing/>
        <w:rPr>
          <w:rFonts w:ascii="仿宋_GB2312" w:hAnsi="仿宋_GB2312" w:cs="仿宋_GB2312"/>
          <w:szCs w:val="32"/>
          <w:highlight w:val="yellow"/>
        </w:rPr>
      </w:pPr>
      <w:r>
        <w:rPr>
          <w:rFonts w:hint="eastAsia" w:ascii="仿宋_GB2312" w:hAnsi="仿宋_GB2312" w:cs="仿宋_GB2312"/>
          <w:szCs w:val="32"/>
        </w:rPr>
        <w:t>（一）有利于单位发展。通过建立企业年金增强单位的凝聚力和吸引力，激励职工长期稳定地工作，促进单位与职工共同发展；</w:t>
      </w:r>
    </w:p>
    <w:p>
      <w:pPr>
        <w:snapToGrid/>
        <w:ind w:firstLine="640"/>
        <w:contextualSpacing/>
        <w:rPr>
          <w:rFonts w:ascii="仿宋_GB2312" w:hAnsi="仿宋_GB2312" w:cs="仿宋_GB2312"/>
          <w:szCs w:val="32"/>
        </w:rPr>
      </w:pPr>
      <w:r>
        <w:rPr>
          <w:rFonts w:hint="eastAsia" w:ascii="仿宋_GB2312" w:hAnsi="仿宋_GB2312" w:cs="仿宋_GB2312"/>
          <w:szCs w:val="32"/>
        </w:rPr>
        <w:t>（二）公平与效率相结合。企业年金应覆盖大多数职工，对不同类别的职工可以在单位缴费分配上区别对待，但差距不宜过大，在体现公平、普惠的同时兼顾效率；</w:t>
      </w:r>
    </w:p>
    <w:p>
      <w:pPr>
        <w:snapToGrid/>
        <w:ind w:firstLine="640"/>
        <w:contextualSpacing/>
        <w:rPr>
          <w:rFonts w:ascii="仿宋_GB2312" w:hAnsi="仿宋_GB2312" w:cs="仿宋_GB2312"/>
          <w:szCs w:val="32"/>
        </w:rPr>
      </w:pPr>
      <w:r>
        <w:rPr>
          <w:rFonts w:hint="eastAsia" w:ascii="仿宋_GB2312" w:hAnsi="仿宋_GB2312" w:cs="仿宋_GB2312"/>
          <w:szCs w:val="32"/>
        </w:rPr>
        <w:t>（三）自愿平等协商。单位及其职工通过集体协商确定建立企业年金并制定企业年金方案，职工自愿选择是否参加；</w:t>
      </w:r>
    </w:p>
    <w:p>
      <w:pPr>
        <w:snapToGrid/>
        <w:ind w:firstLine="640"/>
        <w:contextualSpacing/>
        <w:rPr>
          <w:rFonts w:ascii="仿宋_GB2312" w:hAnsi="仿宋_GB2312" w:cs="仿宋_GB2312"/>
          <w:szCs w:val="32"/>
        </w:rPr>
      </w:pPr>
      <w:r>
        <w:rPr>
          <w:rFonts w:hint="eastAsia" w:ascii="仿宋_GB2312" w:hAnsi="仿宋_GB2312" w:cs="仿宋_GB2312"/>
          <w:szCs w:val="32"/>
        </w:rPr>
        <w:t>（四）保障安全、适度收益。企业年金基金的管理严格按照国家有关规定执行，按照规定的投资范围进行投资运作，在保障安全的前提下获取适度收益；</w:t>
      </w:r>
    </w:p>
    <w:p>
      <w:pPr>
        <w:snapToGrid/>
        <w:ind w:firstLine="640"/>
        <w:contextualSpacing/>
        <w:rPr>
          <w:rFonts w:ascii="仿宋_GB2312" w:hAnsi="仿宋_GB2312" w:cs="仿宋_GB2312"/>
          <w:szCs w:val="32"/>
        </w:rPr>
      </w:pPr>
      <w:r>
        <w:rPr>
          <w:rFonts w:hint="eastAsia" w:ascii="仿宋_GB2312" w:hAnsi="仿宋_GB2312" w:cs="仿宋_GB2312"/>
          <w:szCs w:val="32"/>
        </w:rPr>
        <w:t>（五）适时调整原则。企业年金发展水平应与单位的经营状况相适应，在符合国家相关规定的前提下，根据单位经营状况的变化适时调整企业年金方案。</w:t>
      </w:r>
    </w:p>
    <w:p>
      <w:pPr>
        <w:snapToGrid/>
        <w:ind w:left="640" w:firstLine="0" w:firstLineChars="0"/>
        <w:contextualSpacing/>
        <w:rPr>
          <w:rFonts w:ascii="仿宋_GB2312" w:hAnsi="仿宋_GB2312" w:cs="仿宋_GB2312"/>
          <w:szCs w:val="32"/>
        </w:rPr>
      </w:pPr>
      <w:r>
        <w:rPr>
          <w:rFonts w:hint="eastAsia" w:ascii="仿宋_GB2312" w:hAnsi="仿宋_GB2312" w:cs="仿宋_GB2312"/>
          <w:b/>
          <w:szCs w:val="32"/>
        </w:rPr>
        <w:t>第三条</w:t>
      </w:r>
      <w:r>
        <w:rPr>
          <w:rFonts w:hint="eastAsia" w:ascii="仿宋_GB2312" w:hAnsi="仿宋_GB2312" w:cs="仿宋_GB2312"/>
          <w:szCs w:val="32"/>
        </w:rPr>
        <w:t xml:space="preserve"> 单位建立企业年金的基本条件</w:t>
      </w:r>
    </w:p>
    <w:p>
      <w:pPr>
        <w:snapToGrid/>
        <w:ind w:firstLine="640"/>
        <w:contextualSpacing/>
        <w:rPr>
          <w:rFonts w:ascii="仿宋_GB2312" w:hAnsi="仿宋_GB2312" w:cs="仿宋_GB2312"/>
          <w:szCs w:val="32"/>
        </w:rPr>
      </w:pPr>
      <w:r>
        <w:rPr>
          <w:rFonts w:hint="eastAsia" w:ascii="仿宋_GB2312" w:hAnsi="仿宋_GB2312" w:cs="仿宋_GB2312"/>
          <w:szCs w:val="32"/>
        </w:rPr>
        <w:t>（一）依法参加企业职工基本养老保险并履行缴费义务；</w:t>
      </w:r>
    </w:p>
    <w:p>
      <w:pPr>
        <w:snapToGrid/>
        <w:ind w:firstLine="640"/>
        <w:contextualSpacing/>
        <w:rPr>
          <w:rFonts w:ascii="仿宋_GB2312" w:hAnsi="仿宋_GB2312" w:cs="仿宋_GB2312"/>
          <w:szCs w:val="32"/>
        </w:rPr>
      </w:pPr>
      <w:r>
        <w:rPr>
          <w:rFonts w:hint="eastAsia" w:ascii="仿宋_GB2312" w:hAnsi="仿宋_GB2312" w:cs="仿宋_GB2312"/>
          <w:szCs w:val="32"/>
        </w:rPr>
        <w:t>（二）单位与工会或者职工代表通过集体协商确定建立企业年金；</w:t>
      </w:r>
    </w:p>
    <w:p>
      <w:pPr>
        <w:snapToGrid/>
        <w:ind w:firstLine="640"/>
        <w:contextualSpacing/>
        <w:rPr>
          <w:rFonts w:ascii="仿宋_GB2312" w:hAnsi="仿宋_GB2312" w:cs="仿宋_GB2312"/>
          <w:szCs w:val="32"/>
        </w:rPr>
      </w:pPr>
      <w:r>
        <w:rPr>
          <w:rFonts w:hint="eastAsia" w:ascii="仿宋_GB2312" w:hAnsi="仿宋_GB2312" w:cs="仿宋_GB2312"/>
          <w:szCs w:val="32"/>
        </w:rPr>
        <w:t>其他条件：</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第四条 </w:t>
      </w:r>
      <w:r>
        <w:rPr>
          <w:rFonts w:hint="eastAsia" w:ascii="仿宋_GB2312" w:hAnsi="仿宋_GB2312" w:cs="仿宋_GB2312"/>
          <w:szCs w:val="32"/>
        </w:rPr>
        <w:t>实施范围</w:t>
      </w:r>
      <w:r>
        <w:rPr>
          <w:rStyle w:val="29"/>
          <w:rFonts w:hint="eastAsia" w:ascii="仿宋_GB2312" w:hAnsi="仿宋_GB2312" w:cs="仿宋_GB2312"/>
          <w:szCs w:val="32"/>
        </w:rPr>
        <w:footnoteReference w:id="1"/>
      </w:r>
    </w:p>
    <w:p>
      <w:pPr>
        <w:snapToGrid/>
        <w:ind w:firstLine="640"/>
        <w:contextualSpacing/>
        <w:rPr>
          <w:rFonts w:ascii="仿宋_GB2312" w:hAnsi="仿宋_GB2312" w:cs="仿宋_GB2312"/>
          <w:szCs w:val="32"/>
        </w:rPr>
      </w:pPr>
      <w:r>
        <w:rPr>
          <w:rFonts w:hint="eastAsia" w:ascii="仿宋_GB2312" w:hAnsi="仿宋_GB2312" w:cs="仿宋_GB2312"/>
          <w:szCs w:val="32"/>
        </w:rPr>
        <w:t>本细则适用于</w:t>
      </w:r>
      <w:r>
        <w:rPr>
          <w:rFonts w:hint="eastAsia" w:ascii="仿宋_GB2312" w:hAnsi="仿宋_GB2312" w:cs="仿宋_GB2312"/>
          <w:szCs w:val="32"/>
          <w:u w:val="single"/>
        </w:rPr>
        <w:t>××单位</w:t>
      </w:r>
      <w:r>
        <w:rPr>
          <w:rFonts w:hint="eastAsia" w:ascii="仿宋_GB2312" w:hAnsi="仿宋_GB2312" w:cs="仿宋_GB2312"/>
          <w:szCs w:val="32"/>
        </w:rPr>
        <w:t>下属</w:t>
      </w:r>
      <w:r>
        <w:rPr>
          <w:rFonts w:hint="eastAsia" w:ascii="仿宋_GB2312" w:hAnsi="仿宋_GB2312" w:cs="仿宋_GB2312"/>
          <w:szCs w:val="32"/>
          <w:u w:val="single"/>
        </w:rPr>
        <w:t xml:space="preserve">       </w:t>
      </w:r>
      <w:r>
        <w:rPr>
          <w:rFonts w:hint="eastAsia" w:ascii="仿宋_GB2312" w:hAnsi="仿宋_GB2312" w:cs="仿宋_GB2312"/>
          <w:szCs w:val="32"/>
        </w:rPr>
        <w:t>单位（以下统称本单位）。</w:t>
      </w:r>
    </w:p>
    <w:p>
      <w:pPr>
        <w:pStyle w:val="3"/>
        <w:snapToGrid/>
        <w:spacing w:line="360" w:lineRule="auto"/>
        <w:ind w:firstLine="640"/>
        <w:contextualSpacing/>
        <w:jc w:val="center"/>
        <w:rPr>
          <w:rFonts w:ascii="黑体" w:eastAsia="黑体"/>
          <w:b w:val="0"/>
        </w:rPr>
      </w:pPr>
      <w:bookmarkStart w:id="14" w:name="_Toc238376846"/>
      <w:bookmarkStart w:id="15" w:name="_Toc243825264"/>
      <w:bookmarkStart w:id="16" w:name="_Toc318811832"/>
      <w:bookmarkStart w:id="17" w:name="_Toc383080239"/>
      <w:r>
        <w:rPr>
          <w:rFonts w:hint="eastAsia" w:ascii="黑体" w:eastAsia="黑体"/>
          <w:b w:val="0"/>
        </w:rPr>
        <w:t>第二章</w:t>
      </w:r>
      <w:r>
        <w:rPr>
          <w:rFonts w:ascii="黑体" w:eastAsia="黑体"/>
          <w:b w:val="0"/>
        </w:rPr>
        <w:t xml:space="preserve"> </w:t>
      </w:r>
      <w:bookmarkEnd w:id="14"/>
      <w:bookmarkEnd w:id="15"/>
      <w:r>
        <w:rPr>
          <w:rFonts w:hint="eastAsia" w:ascii="黑体" w:eastAsia="黑体"/>
          <w:b w:val="0"/>
        </w:rPr>
        <w:t xml:space="preserve"> </w:t>
      </w:r>
      <w:bookmarkEnd w:id="16"/>
      <w:r>
        <w:rPr>
          <w:rFonts w:hint="eastAsia" w:ascii="黑体" w:eastAsia="黑体"/>
          <w:b w:val="0"/>
        </w:rPr>
        <w:t>参加人员</w:t>
      </w:r>
      <w:bookmarkEnd w:id="17"/>
    </w:p>
    <w:p>
      <w:pPr>
        <w:snapToGrid/>
        <w:ind w:firstLine="643"/>
        <w:contextualSpacing/>
        <w:rPr>
          <w:rFonts w:ascii="仿宋_GB2312" w:hAnsi="仿宋_GB2312" w:cs="仿宋_GB2312"/>
          <w:szCs w:val="32"/>
        </w:rPr>
      </w:pPr>
      <w:bookmarkStart w:id="18" w:name="jhp"/>
      <w:bookmarkEnd w:id="18"/>
      <w:r>
        <w:rPr>
          <w:rFonts w:hint="eastAsia" w:ascii="仿宋_GB2312" w:hAnsi="仿宋_GB2312" w:cs="仿宋_GB2312"/>
          <w:b/>
          <w:szCs w:val="32"/>
        </w:rPr>
        <w:t>第五条</w:t>
      </w:r>
      <w:r>
        <w:rPr>
          <w:rFonts w:hint="eastAsia" w:ascii="仿宋_GB2312" w:hAnsi="仿宋_GB2312" w:cs="仿宋_GB2312"/>
          <w:szCs w:val="32"/>
        </w:rPr>
        <w:t xml:space="preserve"> 符合以下条件的职工，可参加本细则</w:t>
      </w:r>
      <w:r>
        <w:rPr>
          <w:rStyle w:val="29"/>
          <w:rFonts w:hint="eastAsia" w:ascii="仿宋_GB2312" w:hAnsi="仿宋_GB2312" w:cs="仿宋_GB2312"/>
          <w:szCs w:val="32"/>
        </w:rPr>
        <w:footnoteReference w:id="2"/>
      </w:r>
      <w:r>
        <w:rPr>
          <w:rFonts w:hint="eastAsia" w:ascii="仿宋_GB2312" w:hAnsi="仿宋_GB2312" w:cs="仿宋_GB2312"/>
          <w:szCs w:val="32"/>
        </w:rPr>
        <w:t>。</w:t>
      </w:r>
    </w:p>
    <w:p>
      <w:pPr>
        <w:snapToGrid/>
        <w:ind w:firstLine="640"/>
        <w:contextualSpacing/>
        <w:rPr>
          <w:rFonts w:ascii="仿宋_GB2312" w:hAnsi="仿宋_GB2312" w:cs="仿宋_GB2312"/>
          <w:szCs w:val="32"/>
        </w:rPr>
      </w:pPr>
      <w:r>
        <w:rPr>
          <w:rFonts w:hint="eastAsia" w:ascii="仿宋_GB2312" w:hAnsi="仿宋_GB2312" w:cs="仿宋_GB2312"/>
          <w:szCs w:val="32"/>
        </w:rPr>
        <w:t>（一）按规定参加基本养老保险并履行缴费义务；</w:t>
      </w:r>
    </w:p>
    <w:p>
      <w:pPr>
        <w:snapToGrid/>
        <w:ind w:firstLine="640"/>
        <w:contextualSpacing/>
        <w:rPr>
          <w:rFonts w:ascii="仿宋_GB2312" w:hAnsi="仿宋_GB2312" w:cs="仿宋_GB2312"/>
          <w:szCs w:val="32"/>
          <w:u w:val="single"/>
        </w:rPr>
      </w:pPr>
      <w:r>
        <w:rPr>
          <w:rFonts w:hint="eastAsia" w:ascii="仿宋_GB2312" w:hAnsi="仿宋_GB2312" w:cs="仿宋_GB2312"/>
          <w:szCs w:val="32"/>
        </w:rPr>
        <w:t>（二）其他条件：</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第六条 </w:t>
      </w:r>
      <w:r>
        <w:rPr>
          <w:rFonts w:hint="eastAsia" w:ascii="仿宋_GB2312" w:hAnsi="仿宋_GB2312" w:cs="仿宋_GB2312"/>
          <w:szCs w:val="32"/>
        </w:rPr>
        <w:t>职工参加本细则的程序</w:t>
      </w:r>
    </w:p>
    <w:p>
      <w:pPr>
        <w:snapToGrid/>
        <w:ind w:firstLine="640"/>
        <w:contextualSpacing/>
        <w:rPr>
          <w:rFonts w:ascii="仿宋_GB2312" w:hAnsi="仿宋_GB2312" w:cs="仿宋_GB2312"/>
          <w:szCs w:val="32"/>
        </w:rPr>
      </w:pPr>
      <w:r>
        <w:rPr>
          <w:rFonts w:hint="eastAsia" w:ascii="仿宋_GB2312" w:hAnsi="仿宋_GB2312" w:cs="仿宋_GB2312"/>
          <w:szCs w:val="32"/>
        </w:rPr>
        <w:t>符合上述参加条件的职工填写《职工参加企业年金申请表》（附件①），经本单位审核通过后参加本细则。在本细则实施后加入本单位的新职工，可在满足上述参加条件的</w:t>
      </w:r>
      <w:r>
        <w:rPr>
          <w:rFonts w:hint="eastAsia" w:ascii="仿宋_GB2312" w:hAnsi="仿宋_GB2312" w:cs="仿宋_GB2312"/>
          <w:szCs w:val="32"/>
          <w:u w:val="single"/>
        </w:rPr>
        <w:t xml:space="preserve">    （□本月、□次月）</w:t>
      </w:r>
      <w:r>
        <w:rPr>
          <w:rFonts w:hint="eastAsia" w:ascii="仿宋_GB2312" w:hAnsi="仿宋_GB2312" w:cs="仿宋_GB2312"/>
          <w:szCs w:val="32"/>
        </w:rPr>
        <w:t>起参加本细则 。</w:t>
      </w:r>
    </w:p>
    <w:p>
      <w:pPr>
        <w:snapToGrid/>
        <w:ind w:firstLine="643"/>
        <w:contextualSpacing/>
        <w:rPr>
          <w:rFonts w:ascii="仿宋_GB2312" w:hAnsi="仿宋_GB2312" w:cs="仿宋_GB2312"/>
          <w:szCs w:val="32"/>
        </w:rPr>
      </w:pPr>
      <w:r>
        <w:rPr>
          <w:rFonts w:hint="eastAsia" w:ascii="仿宋_GB2312" w:hAnsi="仿宋_GB2312" w:cs="仿宋_GB2312"/>
          <w:b/>
          <w:szCs w:val="32"/>
        </w:rPr>
        <w:t>第七条</w:t>
      </w:r>
      <w:r>
        <w:rPr>
          <w:rFonts w:hint="eastAsia" w:ascii="仿宋_GB2312" w:hAnsi="仿宋_GB2312" w:cs="仿宋_GB2312"/>
          <w:szCs w:val="32"/>
        </w:rPr>
        <w:t xml:space="preserve"> 职工退出本细则的条件</w:t>
      </w:r>
    </w:p>
    <w:p>
      <w:pPr>
        <w:snapToGrid/>
        <w:ind w:firstLine="640"/>
        <w:contextualSpacing/>
        <w:rPr>
          <w:rFonts w:ascii="仿宋_GB2312" w:hAnsi="仿宋_GB2312" w:cs="仿宋_GB2312"/>
          <w:szCs w:val="32"/>
        </w:rPr>
      </w:pPr>
      <w:r>
        <w:rPr>
          <w:rFonts w:hint="eastAsia" w:ascii="仿宋_GB2312" w:hAnsi="仿宋_GB2312" w:cs="仿宋_GB2312"/>
          <w:szCs w:val="32"/>
        </w:rPr>
        <w:t>（一）职工与本单位终止或解除劳动合同；</w:t>
      </w:r>
    </w:p>
    <w:p>
      <w:pPr>
        <w:snapToGrid/>
        <w:ind w:firstLine="640"/>
        <w:contextualSpacing/>
        <w:rPr>
          <w:rFonts w:ascii="仿宋_GB2312" w:hAnsi="仿宋_GB2312" w:cs="仿宋_GB2312"/>
          <w:szCs w:val="32"/>
        </w:rPr>
      </w:pPr>
      <w:r>
        <w:rPr>
          <w:rFonts w:hint="eastAsia" w:ascii="仿宋_GB2312" w:hAnsi="仿宋_GB2312" w:cs="仿宋_GB2312"/>
          <w:szCs w:val="32"/>
        </w:rPr>
        <w:t>（二）职工达到本细则规定的企业年金待遇领取条件；</w:t>
      </w:r>
    </w:p>
    <w:p>
      <w:pPr>
        <w:snapToGrid/>
        <w:ind w:firstLine="640"/>
        <w:contextualSpacing/>
        <w:rPr>
          <w:rFonts w:ascii="仿宋_GB2312" w:hAnsi="仿宋_GB2312" w:cs="仿宋_GB2312"/>
          <w:szCs w:val="32"/>
        </w:rPr>
      </w:pPr>
      <w:r>
        <w:rPr>
          <w:rFonts w:hint="eastAsia" w:ascii="仿宋_GB2312" w:hAnsi="仿宋_GB2312" w:cs="仿宋_GB2312"/>
          <w:szCs w:val="32"/>
        </w:rPr>
        <w:t>（三）其他：</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第八条 </w:t>
      </w:r>
      <w:r>
        <w:rPr>
          <w:rFonts w:hint="eastAsia" w:ascii="仿宋_GB2312" w:hAnsi="仿宋_GB2312" w:cs="仿宋_GB2312"/>
          <w:szCs w:val="32"/>
        </w:rPr>
        <w:t>职工退出本细则的程序</w:t>
      </w:r>
    </w:p>
    <w:p>
      <w:pPr>
        <w:snapToGrid/>
        <w:ind w:firstLine="640"/>
        <w:contextualSpacing/>
        <w:rPr>
          <w:rFonts w:ascii="仿宋_GB2312" w:hAnsi="仿宋_GB2312" w:cs="仿宋_GB2312"/>
          <w:szCs w:val="32"/>
        </w:rPr>
      </w:pPr>
      <w:r>
        <w:rPr>
          <w:rFonts w:hint="eastAsia" w:ascii="仿宋_GB2312" w:hAnsi="仿宋_GB2312" w:cs="仿宋_GB2312"/>
          <w:szCs w:val="32"/>
        </w:rPr>
        <w:t>职工达到上述退出条件后自动退出本细则，单位停止其企业年金缴费，按照本细则第十八条处理其个人账户或按照本细则第二十九条支付企业年金待遇。</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第九条 </w:t>
      </w:r>
      <w:r>
        <w:rPr>
          <w:rFonts w:hint="eastAsia" w:ascii="仿宋_GB2312" w:hAnsi="仿宋_GB2312" w:cs="仿宋_GB2312"/>
          <w:szCs w:val="32"/>
        </w:rPr>
        <w:t>职工的权利和义务</w:t>
      </w:r>
    </w:p>
    <w:p>
      <w:pPr>
        <w:snapToGrid/>
        <w:ind w:firstLine="640"/>
        <w:contextualSpacing/>
        <w:rPr>
          <w:rFonts w:ascii="仿宋_GB2312" w:hAnsi="仿宋_GB2312" w:cs="仿宋_GB2312"/>
          <w:szCs w:val="32"/>
        </w:rPr>
      </w:pPr>
      <w:r>
        <w:rPr>
          <w:rFonts w:hint="eastAsia" w:ascii="仿宋_GB2312" w:hAnsi="仿宋_GB2312" w:cs="仿宋_GB2312"/>
          <w:szCs w:val="32"/>
        </w:rPr>
        <w:t>（一）职工的权利</w:t>
      </w:r>
    </w:p>
    <w:p>
      <w:pPr>
        <w:snapToGrid/>
        <w:ind w:firstLine="640"/>
        <w:contextualSpacing/>
        <w:rPr>
          <w:rFonts w:ascii="仿宋_GB2312" w:hAnsi="仿宋_GB2312" w:cs="仿宋_GB2312"/>
          <w:szCs w:val="32"/>
        </w:rPr>
      </w:pPr>
      <w:r>
        <w:rPr>
          <w:rFonts w:hint="eastAsia" w:ascii="仿宋_GB2312" w:hAnsi="仿宋_GB2312" w:cs="仿宋_GB2312"/>
          <w:szCs w:val="32"/>
        </w:rPr>
        <w:t>1.职工对个人账户信息拥有知情权；</w:t>
      </w:r>
    </w:p>
    <w:p>
      <w:pPr>
        <w:snapToGrid/>
        <w:ind w:firstLine="640"/>
        <w:contextualSpacing/>
        <w:rPr>
          <w:rFonts w:ascii="仿宋_GB2312" w:hAnsi="仿宋_GB2312" w:cs="仿宋_GB2312"/>
          <w:szCs w:val="32"/>
        </w:rPr>
      </w:pPr>
      <w:r>
        <w:rPr>
          <w:rFonts w:hint="eastAsia" w:ascii="仿宋_GB2312" w:hAnsi="仿宋_GB2312" w:cs="仿宋_GB2312"/>
          <w:szCs w:val="32"/>
        </w:rPr>
        <w:t>2.在满足本细则规定的权益归属条件后，职工对个人账户中已经归属的权益拥有所有权；</w:t>
      </w:r>
    </w:p>
    <w:p>
      <w:pPr>
        <w:snapToGrid/>
        <w:ind w:firstLine="640"/>
        <w:contextualSpacing/>
        <w:rPr>
          <w:rFonts w:ascii="仿宋_GB2312" w:hAnsi="仿宋_GB2312" w:cs="仿宋_GB2312"/>
          <w:szCs w:val="32"/>
        </w:rPr>
      </w:pPr>
      <w:r>
        <w:rPr>
          <w:rFonts w:hint="eastAsia" w:ascii="仿宋_GB2312" w:hAnsi="仿宋_GB2312" w:cs="仿宋_GB2312"/>
          <w:szCs w:val="32"/>
        </w:rPr>
        <w:t>3.在满足本细则规定的领取条件后，职工享有领取企业年金待遇的权利；</w:t>
      </w:r>
    </w:p>
    <w:p>
      <w:pPr>
        <w:snapToGrid/>
        <w:ind w:firstLine="640"/>
        <w:contextualSpacing/>
        <w:rPr>
          <w:rFonts w:ascii="仿宋_GB2312" w:hAnsi="仿宋_GB2312" w:cs="仿宋_GB2312"/>
          <w:szCs w:val="32"/>
        </w:rPr>
      </w:pPr>
      <w:r>
        <w:rPr>
          <w:rFonts w:hint="eastAsia" w:ascii="仿宋_GB2312" w:hAnsi="仿宋_GB2312" w:cs="仿宋_GB2312"/>
          <w:szCs w:val="32"/>
        </w:rPr>
        <w:t>4.由于个人原因，职工可以申请暂停缴费；暂停缴费后，职工可根据个人情况申请恢复缴费。</w:t>
      </w:r>
    </w:p>
    <w:p>
      <w:pPr>
        <w:snapToGrid/>
        <w:ind w:firstLine="640"/>
        <w:contextualSpacing/>
        <w:rPr>
          <w:rFonts w:ascii="仿宋_GB2312" w:hAnsi="仿宋_GB2312" w:cs="仿宋_GB2312"/>
          <w:szCs w:val="32"/>
        </w:rPr>
      </w:pPr>
      <w:r>
        <w:rPr>
          <w:rFonts w:hint="eastAsia" w:ascii="仿宋_GB2312" w:hAnsi="仿宋_GB2312" w:cs="仿宋_GB2312"/>
          <w:szCs w:val="32"/>
        </w:rPr>
        <w:t>（二）职工的义务</w:t>
      </w:r>
    </w:p>
    <w:p>
      <w:pPr>
        <w:snapToGrid/>
        <w:ind w:firstLine="640"/>
        <w:contextualSpacing/>
        <w:rPr>
          <w:rFonts w:ascii="仿宋_GB2312" w:hAnsi="仿宋_GB2312" w:cs="仿宋_GB2312"/>
          <w:szCs w:val="32"/>
        </w:rPr>
      </w:pPr>
      <w:r>
        <w:rPr>
          <w:rFonts w:hint="eastAsia" w:ascii="仿宋_GB2312" w:hAnsi="仿宋_GB2312" w:cs="仿宋_GB2312"/>
          <w:szCs w:val="32"/>
        </w:rPr>
        <w:t>1.授权本单位根据本细则规定从职工工资中代扣代缴个人缴费；</w:t>
      </w:r>
    </w:p>
    <w:p>
      <w:pPr>
        <w:snapToGrid/>
        <w:ind w:firstLine="640"/>
        <w:contextualSpacing/>
        <w:rPr>
          <w:rFonts w:ascii="仿宋_GB2312" w:hAnsi="仿宋_GB2312" w:cs="仿宋_GB2312"/>
          <w:szCs w:val="32"/>
        </w:rPr>
      </w:pPr>
      <w:r>
        <w:rPr>
          <w:rFonts w:hint="eastAsia" w:ascii="仿宋_GB2312" w:hAnsi="仿宋_GB2312" w:cs="仿宋_GB2312"/>
          <w:szCs w:val="32"/>
        </w:rPr>
        <w:t>2.授权本单位和本计划管理机构按国家有关规定代扣代缴个人所得税；</w:t>
      </w:r>
    </w:p>
    <w:p>
      <w:pPr>
        <w:snapToGrid/>
        <w:ind w:firstLine="640"/>
        <w:contextualSpacing/>
        <w:rPr>
          <w:rFonts w:ascii="仿宋_GB2312" w:hAnsi="仿宋_GB2312" w:cs="仿宋_GB2312"/>
          <w:szCs w:val="32"/>
        </w:rPr>
      </w:pPr>
      <w:r>
        <w:rPr>
          <w:rFonts w:hint="eastAsia" w:ascii="仿宋_GB2312" w:hAnsi="仿宋_GB2312" w:cs="仿宋_GB2312"/>
          <w:szCs w:val="32"/>
        </w:rPr>
        <w:t>3.授权</w:t>
      </w:r>
      <w:r>
        <w:rPr>
          <w:rFonts w:hint="eastAsia" w:ascii="仿宋_GB2312" w:hAnsi="仿宋_GB2312" w:cs="仿宋_GB2312"/>
          <w:szCs w:val="32"/>
          <w:u w:val="single"/>
        </w:rPr>
        <w:t>××单位</w:t>
      </w:r>
      <w:r>
        <w:rPr>
          <w:rStyle w:val="29"/>
          <w:rFonts w:hint="eastAsia" w:ascii="仿宋_GB2312" w:hAnsi="仿宋_GB2312" w:cs="仿宋_GB2312"/>
          <w:szCs w:val="32"/>
          <w:u w:val="single"/>
        </w:rPr>
        <w:footnoteReference w:id="3"/>
      </w:r>
      <w:r>
        <w:rPr>
          <w:rFonts w:hint="eastAsia" w:ascii="仿宋_GB2312" w:hAnsi="仿宋_GB2312" w:cs="仿宋_GB2312"/>
          <w:szCs w:val="32"/>
        </w:rPr>
        <w:t>选择受托人并签订受托管理合同；</w:t>
      </w:r>
    </w:p>
    <w:p>
      <w:pPr>
        <w:snapToGrid/>
        <w:ind w:firstLine="640"/>
        <w:contextualSpacing/>
        <w:rPr>
          <w:rFonts w:ascii="仿宋_GB2312" w:hAnsi="仿宋_GB2312" w:cs="仿宋_GB2312"/>
          <w:szCs w:val="32"/>
        </w:rPr>
      </w:pPr>
      <w:r>
        <w:rPr>
          <w:rFonts w:hint="eastAsia" w:ascii="仿宋_GB2312" w:hAnsi="仿宋_GB2312" w:cs="仿宋_GB2312"/>
          <w:szCs w:val="32"/>
        </w:rPr>
        <w:t>4.授权本单位代表职工对企业年金基金进行管理监督；</w:t>
      </w:r>
    </w:p>
    <w:p>
      <w:pPr>
        <w:snapToGrid/>
        <w:ind w:firstLine="640"/>
        <w:contextualSpacing/>
        <w:rPr>
          <w:rFonts w:ascii="仿宋_GB2312" w:hAnsi="仿宋_GB2312" w:cs="仿宋_GB2312"/>
          <w:szCs w:val="32"/>
        </w:rPr>
      </w:pPr>
      <w:r>
        <w:rPr>
          <w:rFonts w:hint="eastAsia" w:ascii="仿宋_GB2312" w:hAnsi="仿宋_GB2312" w:cs="仿宋_GB2312"/>
          <w:szCs w:val="32"/>
        </w:rPr>
        <w:t>5.当个人基本信息发生变动时，须在七个工作日之内向本单位提供变动情况。</w:t>
      </w:r>
    </w:p>
    <w:p>
      <w:pPr>
        <w:pStyle w:val="3"/>
        <w:snapToGrid/>
        <w:spacing w:line="360" w:lineRule="auto"/>
        <w:ind w:firstLine="640"/>
        <w:contextualSpacing/>
        <w:jc w:val="center"/>
        <w:rPr>
          <w:rFonts w:ascii="黑体" w:eastAsia="黑体"/>
          <w:b w:val="0"/>
        </w:rPr>
      </w:pPr>
      <w:bookmarkStart w:id="19" w:name="_Toc238376848"/>
      <w:bookmarkStart w:id="20" w:name="_Toc243825266"/>
      <w:bookmarkStart w:id="21" w:name="_Toc318811833"/>
      <w:bookmarkStart w:id="22" w:name="_Toc383080240"/>
      <w:r>
        <w:rPr>
          <w:rFonts w:hint="eastAsia" w:ascii="黑体" w:eastAsia="黑体"/>
          <w:b w:val="0"/>
        </w:rPr>
        <w:t>第三章  资金筹集</w:t>
      </w:r>
      <w:bookmarkEnd w:id="19"/>
      <w:bookmarkEnd w:id="20"/>
      <w:bookmarkEnd w:id="21"/>
      <w:r>
        <w:rPr>
          <w:rFonts w:hint="eastAsia" w:ascii="黑体" w:eastAsia="黑体"/>
          <w:b w:val="0"/>
        </w:rPr>
        <w:t>与分配</w:t>
      </w:r>
      <w:bookmarkEnd w:id="22"/>
    </w:p>
    <w:p>
      <w:pPr>
        <w:snapToGrid/>
        <w:ind w:firstLine="643"/>
        <w:contextualSpacing/>
        <w:rPr>
          <w:rFonts w:ascii="仿宋_GB2312" w:hAnsi="仿宋_GB2312" w:cs="仿宋_GB2312"/>
          <w:szCs w:val="32"/>
        </w:rPr>
      </w:pPr>
      <w:r>
        <w:rPr>
          <w:rFonts w:hint="eastAsia" w:ascii="仿宋_GB2312" w:hAnsi="仿宋_GB2312" w:cs="仿宋_GB2312"/>
          <w:b/>
          <w:szCs w:val="32"/>
        </w:rPr>
        <w:t>第十条</w:t>
      </w:r>
      <w:r>
        <w:rPr>
          <w:rFonts w:hint="eastAsia" w:ascii="仿宋_GB2312" w:hAnsi="仿宋_GB2312" w:cs="仿宋_GB2312"/>
          <w:szCs w:val="32"/>
        </w:rPr>
        <w:t xml:space="preserve"> 企业年金缴费由单位和职工共同承担。单位缴费的列支渠道按照国家有关规定执行；职工个人缴费由单位从职工工资中代扣代缴。</w:t>
      </w:r>
    </w:p>
    <w:p>
      <w:pPr>
        <w:snapToGrid/>
        <w:ind w:firstLine="643"/>
        <w:contextualSpacing/>
        <w:rPr>
          <w:rFonts w:ascii="仿宋_GB2312" w:hAnsi="仿宋_GB2312" w:cs="仿宋_GB2312"/>
          <w:bCs/>
          <w:szCs w:val="32"/>
        </w:rPr>
      </w:pPr>
      <w:r>
        <w:rPr>
          <w:rFonts w:hint="eastAsia" w:ascii="仿宋_GB2312" w:hAnsi="仿宋_GB2312" w:cs="仿宋_GB2312"/>
          <w:b/>
          <w:szCs w:val="32"/>
        </w:rPr>
        <w:t xml:space="preserve">第十一条 </w:t>
      </w:r>
      <w:r>
        <w:rPr>
          <w:rFonts w:hint="eastAsia" w:ascii="仿宋_GB2312" w:hAnsi="仿宋_GB2312" w:cs="仿宋_GB2312"/>
          <w:bCs/>
          <w:szCs w:val="32"/>
        </w:rPr>
        <w:t>单位缴费及分配</w:t>
      </w:r>
      <w:r>
        <w:rPr>
          <w:rStyle w:val="29"/>
          <w:rFonts w:hint="eastAsia" w:ascii="仿宋_GB2312" w:hAnsi="仿宋_GB2312" w:cs="仿宋_GB2312"/>
          <w:bCs/>
          <w:szCs w:val="32"/>
        </w:rPr>
        <w:footnoteReference w:id="4"/>
      </w:r>
    </w:p>
    <w:p>
      <w:pPr>
        <w:snapToGrid/>
        <w:ind w:firstLine="640"/>
        <w:contextualSpacing/>
        <w:rPr>
          <w:rFonts w:ascii="仿宋_GB2312" w:hAnsi="仿宋_GB2312" w:cs="仿宋_GB2312"/>
          <w:bCs/>
          <w:szCs w:val="32"/>
        </w:rPr>
      </w:pPr>
      <w:r>
        <w:rPr>
          <w:rFonts w:hint="eastAsia" w:ascii="仿宋_GB2312" w:hAnsi="仿宋_GB2312" w:cs="仿宋_GB2312"/>
          <w:bCs/>
          <w:szCs w:val="32"/>
        </w:rPr>
        <w:t>单位缴费按方式</w:t>
      </w:r>
      <w:r>
        <w:rPr>
          <w:rFonts w:hint="eastAsia" w:ascii="仿宋_GB2312" w:hAnsi="仿宋_GB2312" w:cs="仿宋_GB2312"/>
          <w:bCs/>
          <w:szCs w:val="32"/>
          <w:u w:val="single"/>
        </w:rPr>
        <w:t xml:space="preserve">   </w:t>
      </w:r>
      <w:r>
        <w:rPr>
          <w:rFonts w:hint="eastAsia" w:ascii="仿宋_GB2312" w:hAnsi="仿宋_GB2312" w:cs="仿宋_GB2312"/>
          <w:bCs/>
          <w:szCs w:val="32"/>
        </w:rPr>
        <w:t>缴纳：</w:t>
      </w:r>
    </w:p>
    <w:p>
      <w:pPr>
        <w:snapToGrid/>
        <w:ind w:firstLine="640"/>
        <w:contextualSpacing/>
        <w:rPr>
          <w:rFonts w:ascii="仿宋_GB2312" w:hAnsi="仿宋_GB2312" w:cs="仿宋_GB2312"/>
          <w:bCs/>
          <w:szCs w:val="32"/>
        </w:rPr>
      </w:pPr>
      <w:r>
        <w:rPr>
          <w:rFonts w:hint="eastAsia" w:ascii="仿宋_GB2312" w:hAnsi="仿宋_GB2312" w:cs="仿宋_GB2312"/>
          <w:bCs/>
          <w:szCs w:val="32"/>
        </w:rPr>
        <w:t>方式1：单位缴费为</w:t>
      </w:r>
      <w:r>
        <w:rPr>
          <w:rFonts w:hint="eastAsia" w:ascii="仿宋_GB2312" w:hAnsi="仿宋_GB2312" w:cs="仿宋_GB2312"/>
          <w:szCs w:val="32"/>
        </w:rPr>
        <w:t>职工个人缴费基数的</w:t>
      </w:r>
      <w:r>
        <w:rPr>
          <w:rFonts w:hint="eastAsia" w:ascii="仿宋_GB2312" w:hAnsi="仿宋_GB2312" w:cs="仿宋_GB2312"/>
          <w:szCs w:val="32"/>
          <w:u w:val="single"/>
        </w:rPr>
        <w:t xml:space="preserve">   </w:t>
      </w:r>
      <w:r>
        <w:rPr>
          <w:rFonts w:hint="eastAsia" w:ascii="仿宋_GB2312" w:hAnsi="仿宋_GB2312" w:cs="仿宋_GB2312"/>
          <w:szCs w:val="32"/>
        </w:rPr>
        <w:t>%，职工个人</w:t>
      </w:r>
      <w:r>
        <w:rPr>
          <w:rFonts w:hint="eastAsia" w:ascii="仿宋_GB2312" w:hAnsi="仿宋_GB2312" w:cs="仿宋_GB2312"/>
          <w:bCs/>
          <w:szCs w:val="32"/>
          <w:u w:val="single"/>
        </w:rPr>
        <w:t>（□月、□季度、□年度）</w:t>
      </w:r>
      <w:r>
        <w:rPr>
          <w:rFonts w:hint="eastAsia" w:ascii="仿宋_GB2312" w:hAnsi="仿宋_GB2312" w:cs="仿宋_GB2312"/>
          <w:szCs w:val="32"/>
        </w:rPr>
        <w:t>缴费基数为</w:t>
      </w:r>
      <w:r>
        <w:rPr>
          <w:rFonts w:hint="eastAsia" w:ascii="仿宋_GB2312" w:hAnsi="仿宋_GB2312" w:cs="仿宋_GB2312"/>
          <w:szCs w:val="32"/>
          <w:u w:val="single"/>
        </w:rPr>
        <w:t xml:space="preserve">                  </w:t>
      </w:r>
      <w:r>
        <w:rPr>
          <w:rFonts w:hint="eastAsia" w:ascii="仿宋_GB2312" w:hAnsi="仿宋_GB2312" w:cs="仿宋_GB2312"/>
          <w:szCs w:val="32"/>
        </w:rPr>
        <w:t>。单位缴费总额为单位为参加计划职工缴费的合计金额；</w:t>
      </w:r>
    </w:p>
    <w:p>
      <w:pPr>
        <w:snapToGrid/>
        <w:ind w:firstLine="640"/>
        <w:contextualSpacing/>
        <w:rPr>
          <w:rFonts w:ascii="仿宋_GB2312" w:hAnsi="仿宋_GB2312" w:cs="仿宋_GB2312"/>
          <w:szCs w:val="32"/>
        </w:rPr>
      </w:pPr>
      <w:r>
        <w:rPr>
          <w:rFonts w:hint="eastAsia" w:ascii="仿宋_GB2312" w:hAnsi="仿宋_GB2312" w:cs="仿宋_GB2312"/>
          <w:bCs/>
          <w:szCs w:val="32"/>
        </w:rPr>
        <w:t>方式2：</w:t>
      </w:r>
      <w:r>
        <w:rPr>
          <w:rFonts w:hint="eastAsia" w:ascii="仿宋_GB2312" w:hAnsi="仿宋_GB2312" w:cs="仿宋_GB2312"/>
          <w:szCs w:val="32"/>
        </w:rPr>
        <w:t>单位缴费总额每年为上年度工资总额的</w:t>
      </w:r>
      <w:r>
        <w:rPr>
          <w:rFonts w:hint="eastAsia" w:ascii="仿宋_GB2312" w:hAnsi="仿宋_GB2312" w:cs="仿宋_GB2312"/>
          <w:szCs w:val="32"/>
          <w:u w:val="single"/>
        </w:rPr>
        <w:t xml:space="preserve">   </w:t>
      </w:r>
      <w:r>
        <w:rPr>
          <w:rFonts w:hint="eastAsia" w:ascii="仿宋_GB2312" w:hAnsi="仿宋_GB2312" w:cs="仿宋_GB2312"/>
          <w:szCs w:val="32"/>
        </w:rPr>
        <w:t>%，按照职工个人缴费基数全额分配至职工个人账户，职工个人</w:t>
      </w:r>
      <w:r>
        <w:rPr>
          <w:rFonts w:hint="eastAsia" w:ascii="仿宋_GB2312" w:hAnsi="仿宋_GB2312" w:cs="仿宋_GB2312"/>
          <w:bCs/>
          <w:szCs w:val="32"/>
          <w:u w:val="single"/>
        </w:rPr>
        <w:t>（□月、□季度、□年度）</w:t>
      </w:r>
      <w:r>
        <w:rPr>
          <w:rFonts w:hint="eastAsia" w:ascii="仿宋_GB2312" w:hAnsi="仿宋_GB2312" w:cs="仿宋_GB2312"/>
          <w:szCs w:val="32"/>
        </w:rPr>
        <w:t>缴费基数为</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0"/>
        <w:contextualSpacing/>
        <w:rPr>
          <w:rFonts w:ascii="仿宋_GB2312" w:hAnsi="仿宋_GB2312" w:cs="仿宋_GB2312"/>
          <w:szCs w:val="32"/>
          <w:u w:val="single"/>
        </w:rPr>
      </w:pPr>
      <w:r>
        <w:rPr>
          <w:rFonts w:hint="eastAsia" w:ascii="仿宋_GB2312" w:hAnsi="仿宋_GB2312" w:cs="仿宋_GB2312"/>
          <w:bCs/>
          <w:szCs w:val="32"/>
        </w:rPr>
        <w:t>方式3：</w:t>
      </w:r>
      <w:r>
        <w:rPr>
          <w:rFonts w:hint="eastAsia" w:ascii="仿宋_GB2312" w:hAnsi="仿宋_GB2312" w:cs="仿宋_GB2312"/>
          <w:szCs w:val="32"/>
        </w:rPr>
        <w:t>单位缴费总额每年为上年度工资总额的</w:t>
      </w:r>
      <w:r>
        <w:rPr>
          <w:rFonts w:hint="eastAsia" w:ascii="仿宋_GB2312" w:hAnsi="仿宋_GB2312" w:cs="仿宋_GB2312"/>
          <w:szCs w:val="32"/>
          <w:u w:val="single"/>
        </w:rPr>
        <w:t xml:space="preserve">   </w:t>
      </w:r>
      <w:r>
        <w:rPr>
          <w:rFonts w:hint="eastAsia" w:ascii="仿宋_GB2312" w:hAnsi="仿宋_GB2312" w:cs="仿宋_GB2312"/>
          <w:szCs w:val="32"/>
        </w:rPr>
        <w:t>%，按照职工个人缴费基数的</w:t>
      </w:r>
      <w:r>
        <w:rPr>
          <w:rFonts w:hint="eastAsia" w:ascii="仿宋_GB2312" w:hAnsi="仿宋_GB2312" w:cs="仿宋_GB2312"/>
          <w:szCs w:val="32"/>
          <w:u w:val="single"/>
        </w:rPr>
        <w:t xml:space="preserve">   </w:t>
      </w:r>
      <w:r>
        <w:rPr>
          <w:rFonts w:hint="eastAsia" w:ascii="仿宋_GB2312" w:hAnsi="仿宋_GB2312" w:cs="仿宋_GB2312"/>
          <w:szCs w:val="32"/>
        </w:rPr>
        <w:t>%分配至职工个人账户，职工个人</w:t>
      </w:r>
      <w:r>
        <w:rPr>
          <w:rFonts w:hint="eastAsia" w:ascii="仿宋_GB2312" w:hAnsi="仿宋_GB2312" w:cs="仿宋_GB2312"/>
          <w:bCs/>
          <w:szCs w:val="32"/>
          <w:u w:val="single"/>
        </w:rPr>
        <w:t>（□月、□季度、□年度）</w:t>
      </w:r>
      <w:r>
        <w:rPr>
          <w:rFonts w:hint="eastAsia" w:ascii="仿宋_GB2312" w:hAnsi="仿宋_GB2312" w:cs="仿宋_GB2312"/>
          <w:szCs w:val="32"/>
        </w:rPr>
        <w:t>缴费基数为</w:t>
      </w:r>
      <w:r>
        <w:rPr>
          <w:rFonts w:hint="eastAsia" w:ascii="仿宋_GB2312" w:hAnsi="仿宋_GB2312" w:cs="仿宋_GB2312"/>
          <w:szCs w:val="32"/>
          <w:u w:val="single"/>
        </w:rPr>
        <w:t xml:space="preserve">                  </w:t>
      </w:r>
      <w:r>
        <w:rPr>
          <w:rFonts w:hint="eastAsia" w:ascii="仿宋_GB2312" w:hAnsi="仿宋_GB2312" w:cs="仿宋_GB2312"/>
          <w:szCs w:val="32"/>
        </w:rPr>
        <w:t>，剩余部分记入企业账户，用于对计划建立时临近退休职工的补偿性缴费。补偿范围为：</w:t>
      </w:r>
      <w:r>
        <w:rPr>
          <w:rFonts w:hint="eastAsia" w:ascii="仿宋_GB2312" w:hAnsi="仿宋_GB2312" w:cs="仿宋_GB2312"/>
          <w:szCs w:val="32"/>
          <w:u w:val="single"/>
        </w:rPr>
        <w:t xml:space="preserve">              </w:t>
      </w:r>
      <w:r>
        <w:rPr>
          <w:rFonts w:hint="eastAsia" w:ascii="仿宋_GB2312" w:hAnsi="仿宋_GB2312" w:cs="仿宋_GB2312"/>
          <w:szCs w:val="32"/>
        </w:rPr>
        <w:t>，补偿缴费分配办法为：</w:t>
      </w:r>
      <w:r>
        <w:rPr>
          <w:rFonts w:hint="eastAsia" w:ascii="仿宋_GB2312" w:hAnsi="仿宋_GB2312" w:cs="仿宋_GB2312"/>
          <w:szCs w:val="32"/>
          <w:u w:val="single"/>
        </w:rPr>
        <w:t xml:space="preserve">              </w:t>
      </w:r>
      <w:r>
        <w:rPr>
          <w:rFonts w:hint="eastAsia" w:ascii="仿宋_GB2312" w:hAnsi="仿宋_GB2312" w:cs="仿宋_GB2312"/>
          <w:szCs w:val="32"/>
        </w:rPr>
        <w:t>，补偿缴费划入职工个人账户的方式为：</w:t>
      </w:r>
      <w:r>
        <w:rPr>
          <w:rFonts w:hint="eastAsia" w:ascii="仿宋_GB2312" w:hAnsi="仿宋_GB2312" w:cs="仿宋_GB2312"/>
          <w:szCs w:val="32"/>
          <w:u w:val="single"/>
        </w:rPr>
        <w:t xml:space="preserve">                 </w:t>
      </w:r>
      <w:r>
        <w:rPr>
          <w:rFonts w:hint="eastAsia" w:ascii="仿宋_GB2312" w:hAnsi="仿宋_GB2312" w:cs="仿宋_GB2312"/>
          <w:szCs w:val="32"/>
        </w:rPr>
        <w:t>。补偿结束后，单位应根据实际情况调整单位缴费分配办法，履行本细则第三十三条规定程序后实施；</w:t>
      </w:r>
    </w:p>
    <w:p>
      <w:pPr>
        <w:snapToGrid/>
        <w:ind w:firstLine="640"/>
        <w:contextualSpacing/>
        <w:rPr>
          <w:rFonts w:ascii="仿宋_GB2312" w:hAnsi="仿宋_GB2312" w:cs="仿宋_GB2312"/>
          <w:szCs w:val="32"/>
        </w:rPr>
      </w:pPr>
      <w:r>
        <w:rPr>
          <w:rFonts w:hint="eastAsia" w:ascii="仿宋_GB2312" w:hAnsi="仿宋_GB2312" w:cs="仿宋_GB2312"/>
          <w:bCs/>
          <w:szCs w:val="32"/>
        </w:rPr>
        <w:t>方式4：</w:t>
      </w:r>
      <w:r>
        <w:rPr>
          <w:rFonts w:hint="eastAsia" w:ascii="仿宋_GB2312" w:hAnsi="仿宋_GB2312" w:cs="仿宋_GB2312"/>
          <w:szCs w:val="32"/>
        </w:rPr>
        <w:t>单位缴费总额每年为上年度工资总额的</w:t>
      </w:r>
      <w:r>
        <w:rPr>
          <w:rFonts w:hint="eastAsia" w:ascii="仿宋_GB2312" w:hAnsi="仿宋_GB2312" w:cs="仿宋_GB2312"/>
          <w:szCs w:val="32"/>
          <w:u w:val="single"/>
        </w:rPr>
        <w:t xml:space="preserve">   </w:t>
      </w:r>
      <w:r>
        <w:rPr>
          <w:rFonts w:hint="eastAsia" w:ascii="仿宋_GB2312" w:hAnsi="仿宋_GB2312" w:cs="仿宋_GB2312"/>
          <w:szCs w:val="32"/>
        </w:rPr>
        <w:t>%，按照职工个人缴费基数的</w:t>
      </w:r>
      <w:r>
        <w:rPr>
          <w:rFonts w:hint="eastAsia" w:ascii="仿宋_GB2312" w:hAnsi="仿宋_GB2312" w:cs="仿宋_GB2312"/>
          <w:szCs w:val="32"/>
          <w:u w:val="single"/>
        </w:rPr>
        <w:t xml:space="preserve">   </w:t>
      </w:r>
      <w:r>
        <w:rPr>
          <w:rFonts w:hint="eastAsia" w:ascii="仿宋_GB2312" w:hAnsi="仿宋_GB2312" w:cs="仿宋_GB2312"/>
          <w:szCs w:val="32"/>
        </w:rPr>
        <w:t>%分配至职工个人账户，职工个人</w:t>
      </w:r>
      <w:r>
        <w:rPr>
          <w:rFonts w:hint="eastAsia" w:ascii="仿宋_GB2312" w:hAnsi="仿宋_GB2312" w:cs="仿宋_GB2312"/>
          <w:bCs/>
          <w:szCs w:val="32"/>
          <w:u w:val="single"/>
        </w:rPr>
        <w:t>（□月、□季度、□年度）</w:t>
      </w:r>
      <w:r>
        <w:rPr>
          <w:rFonts w:hint="eastAsia" w:ascii="仿宋_GB2312" w:hAnsi="仿宋_GB2312" w:cs="仿宋_GB2312"/>
          <w:szCs w:val="32"/>
        </w:rPr>
        <w:t>缴费基数为</w:t>
      </w:r>
      <w:r>
        <w:rPr>
          <w:rFonts w:hint="eastAsia" w:ascii="仿宋_GB2312" w:hAnsi="仿宋_GB2312" w:cs="仿宋_GB2312"/>
          <w:szCs w:val="32"/>
          <w:u w:val="single"/>
        </w:rPr>
        <w:t xml:space="preserve">                </w:t>
      </w:r>
      <w:r>
        <w:rPr>
          <w:rFonts w:hint="eastAsia" w:ascii="仿宋_GB2312" w:hAnsi="仿宋_GB2312" w:cs="仿宋_GB2312"/>
          <w:szCs w:val="32"/>
        </w:rPr>
        <w:t>，剩余部分记入企业账户；</w:t>
      </w:r>
    </w:p>
    <w:p>
      <w:pPr>
        <w:snapToGrid/>
        <w:ind w:firstLine="640"/>
        <w:contextualSpacing/>
        <w:rPr>
          <w:rFonts w:ascii="仿宋_GB2312" w:hAnsi="仿宋_GB2312" w:cs="仿宋_GB2312"/>
          <w:szCs w:val="32"/>
          <w:u w:val="single"/>
        </w:rPr>
      </w:pPr>
      <w:r>
        <w:rPr>
          <w:rFonts w:hint="eastAsia" w:ascii="仿宋_GB2312" w:hAnsi="仿宋_GB2312" w:cs="仿宋_GB2312"/>
          <w:szCs w:val="32"/>
        </w:rPr>
        <w:t>方式5：</w:t>
      </w:r>
      <w:r>
        <w:rPr>
          <w:rFonts w:hint="eastAsia" w:ascii="仿宋_GB2312" w:hAnsi="仿宋_GB2312" w:cs="仿宋_GB2312"/>
          <w:szCs w:val="32"/>
          <w:u w:val="single"/>
        </w:rPr>
        <w:t xml:space="preserve">（其他方式）                             </w:t>
      </w:r>
      <w:r>
        <w:rPr>
          <w:rFonts w:hint="eastAsia" w:ascii="仿宋_GB2312" w:hAnsi="仿宋_GB2312" w:cs="仿宋_GB2312"/>
          <w:szCs w:val="32"/>
        </w:rPr>
        <w:t>。</w:t>
      </w:r>
    </w:p>
    <w:p>
      <w:pPr>
        <w:snapToGrid/>
        <w:ind w:firstLine="643"/>
        <w:contextualSpacing/>
        <w:rPr>
          <w:rFonts w:ascii="仿宋_GB2312" w:hAnsi="仿宋_GB2312" w:cs="仿宋_GB2312"/>
          <w:b/>
          <w:szCs w:val="32"/>
        </w:rPr>
      </w:pPr>
      <w:r>
        <w:rPr>
          <w:rFonts w:hint="eastAsia" w:ascii="仿宋_GB2312" w:hAnsi="仿宋_GB2312" w:cs="仿宋_GB2312"/>
          <w:b/>
          <w:szCs w:val="32"/>
        </w:rPr>
        <w:t xml:space="preserve">第十二条 </w:t>
      </w:r>
      <w:r>
        <w:rPr>
          <w:rFonts w:hint="eastAsia" w:ascii="仿宋_GB2312" w:hAnsi="仿宋_GB2312" w:cs="仿宋_GB2312"/>
          <w:szCs w:val="32"/>
        </w:rPr>
        <w:t>企业账户余额的分配办法可通过集体协商另行制定，并经民主程序审议通过后实施，</w:t>
      </w:r>
      <w:r>
        <w:rPr>
          <w:rFonts w:hint="eastAsia" w:ascii="仿宋_GB2312" w:hAnsi="仿宋_GB2312" w:cs="仿宋_GB2312"/>
          <w:vanish/>
          <w:szCs w:val="32"/>
        </w:rPr>
        <w:t>民主位”</w:t>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vanish/>
          <w:szCs w:val="32"/>
        </w:rPr>
        <w:pgNum/>
      </w:r>
      <w:r>
        <w:rPr>
          <w:rFonts w:hint="eastAsia" w:ascii="仿宋_GB2312" w:hAnsi="仿宋_GB2312" w:cs="仿宋_GB2312"/>
          <w:szCs w:val="32"/>
        </w:rPr>
        <w:t>但不得用于抵缴未来年度单位缴费。</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第十三条 </w:t>
      </w:r>
      <w:r>
        <w:rPr>
          <w:rFonts w:hint="eastAsia" w:ascii="仿宋_GB2312" w:hAnsi="仿宋_GB2312" w:cs="仿宋_GB2312"/>
          <w:szCs w:val="32"/>
        </w:rPr>
        <w:t>个人缴费</w:t>
      </w:r>
    </w:p>
    <w:p>
      <w:pPr>
        <w:pStyle w:val="52"/>
        <w:snapToGrid/>
        <w:ind w:firstLine="640"/>
        <w:contextualSpacing/>
        <w:rPr>
          <w:rFonts w:ascii="仿宋_GB2312" w:hAnsi="仿宋_GB2312" w:cs="仿宋_GB2312"/>
          <w:szCs w:val="32"/>
          <w:u w:val="single"/>
        </w:rPr>
      </w:pPr>
      <w:r>
        <w:rPr>
          <w:rFonts w:hint="eastAsia" w:ascii="仿宋_GB2312" w:hAnsi="仿宋_GB2312" w:cs="仿宋_GB2312"/>
          <w:szCs w:val="32"/>
        </w:rPr>
        <w:t>个人缴费按方式</w:t>
      </w:r>
      <w:r>
        <w:rPr>
          <w:rFonts w:hint="eastAsia" w:ascii="仿宋_GB2312" w:hAnsi="仿宋_GB2312" w:cs="仿宋_GB2312"/>
          <w:szCs w:val="32"/>
          <w:u w:val="single"/>
        </w:rPr>
        <w:t xml:space="preserve">  </w:t>
      </w:r>
      <w:r>
        <w:rPr>
          <w:rFonts w:hint="eastAsia" w:ascii="仿宋_GB2312" w:hAnsi="仿宋_GB2312" w:cs="仿宋_GB2312"/>
          <w:szCs w:val="32"/>
        </w:rPr>
        <w:t>缴纳：</w:t>
      </w:r>
    </w:p>
    <w:p>
      <w:pPr>
        <w:pStyle w:val="52"/>
        <w:snapToGrid/>
        <w:ind w:firstLine="640"/>
        <w:contextualSpacing/>
        <w:rPr>
          <w:rFonts w:ascii="仿宋_GB2312" w:hAnsi="仿宋_GB2312" w:cs="仿宋_GB2312"/>
          <w:szCs w:val="32"/>
        </w:rPr>
      </w:pPr>
      <w:r>
        <w:rPr>
          <w:rFonts w:hint="eastAsia" w:ascii="仿宋_GB2312" w:hAnsi="仿宋_GB2312" w:cs="仿宋_GB2312"/>
          <w:szCs w:val="32"/>
        </w:rPr>
        <w:t>方式1：职工个人缴费为职工个人缴费基数的</w:t>
      </w:r>
      <w:r>
        <w:rPr>
          <w:rFonts w:hint="eastAsia" w:ascii="仿宋_GB2312" w:hAnsi="仿宋_GB2312" w:cs="仿宋_GB2312"/>
          <w:szCs w:val="32"/>
          <w:u w:val="single"/>
        </w:rPr>
        <w:t xml:space="preserve">    </w:t>
      </w:r>
      <w:r>
        <w:rPr>
          <w:rFonts w:hint="eastAsia" w:ascii="仿宋_GB2312" w:hAnsi="仿宋_GB2312" w:cs="仿宋_GB2312"/>
          <w:szCs w:val="32"/>
        </w:rPr>
        <w:t>%；</w:t>
      </w:r>
    </w:p>
    <w:p>
      <w:pPr>
        <w:pStyle w:val="52"/>
        <w:snapToGrid/>
        <w:ind w:firstLine="640"/>
        <w:contextualSpacing/>
        <w:rPr>
          <w:rFonts w:ascii="仿宋_GB2312" w:hAnsi="仿宋_GB2312" w:cs="仿宋_GB2312"/>
          <w:szCs w:val="32"/>
          <w:u w:val="single"/>
        </w:rPr>
      </w:pPr>
      <w:r>
        <w:rPr>
          <w:rFonts w:hint="eastAsia" w:ascii="仿宋_GB2312" w:hAnsi="仿宋_GB2312" w:cs="仿宋_GB2312"/>
          <w:szCs w:val="32"/>
        </w:rPr>
        <w:t>方式2：职工个人缴费为单位为其缴费的</w:t>
      </w:r>
      <w:r>
        <w:rPr>
          <w:rFonts w:hint="eastAsia" w:ascii="仿宋_GB2312" w:hAnsi="仿宋_GB2312" w:cs="仿宋_GB2312"/>
          <w:szCs w:val="32"/>
          <w:u w:val="single"/>
        </w:rPr>
        <w:t xml:space="preserve">    </w:t>
      </w:r>
      <w:r>
        <w:rPr>
          <w:rFonts w:hint="eastAsia" w:ascii="仿宋_GB2312" w:hAnsi="仿宋_GB2312" w:cs="仿宋_GB2312"/>
          <w:szCs w:val="32"/>
        </w:rPr>
        <w:t>%；</w:t>
      </w:r>
    </w:p>
    <w:p>
      <w:pPr>
        <w:pStyle w:val="52"/>
        <w:snapToGrid/>
        <w:ind w:firstLine="640"/>
        <w:contextualSpacing/>
        <w:rPr>
          <w:rFonts w:ascii="仿宋_GB2312" w:hAnsi="仿宋_GB2312" w:cs="仿宋_GB2312"/>
          <w:szCs w:val="32"/>
        </w:rPr>
      </w:pPr>
      <w:r>
        <w:rPr>
          <w:rFonts w:hint="eastAsia" w:ascii="仿宋_GB2312" w:hAnsi="仿宋_GB2312" w:cs="仿宋_GB2312"/>
          <w:szCs w:val="32"/>
        </w:rPr>
        <w:t>方式3：</w:t>
      </w:r>
      <w:r>
        <w:rPr>
          <w:rFonts w:hint="eastAsia" w:ascii="仿宋_GB2312" w:hAnsi="仿宋_GB2312" w:cs="仿宋_GB2312"/>
          <w:szCs w:val="32"/>
          <w:u w:val="single"/>
        </w:rPr>
        <w:t xml:space="preserve">（其他方式）                             </w:t>
      </w:r>
      <w:r>
        <w:rPr>
          <w:rFonts w:hint="eastAsia" w:ascii="仿宋_GB2312" w:hAnsi="仿宋_GB2312" w:cs="仿宋_GB2312"/>
          <w:szCs w:val="32"/>
        </w:rPr>
        <w:t>。</w:t>
      </w:r>
    </w:p>
    <w:p>
      <w:pPr>
        <w:snapToGrid/>
        <w:ind w:firstLine="643"/>
        <w:contextualSpacing/>
        <w:rPr>
          <w:rFonts w:ascii="仿宋_GB2312" w:hAnsi="仿宋_GB2312" w:cs="仿宋_GB2312"/>
          <w:bCs/>
          <w:szCs w:val="32"/>
        </w:rPr>
      </w:pPr>
      <w:r>
        <w:rPr>
          <w:rFonts w:hint="eastAsia" w:ascii="仿宋_GB2312" w:hAnsi="仿宋_GB2312" w:cs="仿宋_GB2312"/>
          <w:b/>
          <w:szCs w:val="32"/>
        </w:rPr>
        <w:t xml:space="preserve">第十四条 </w:t>
      </w:r>
      <w:r>
        <w:rPr>
          <w:rFonts w:hint="eastAsia" w:ascii="仿宋_GB2312" w:hAnsi="仿宋_GB2312" w:cs="仿宋_GB2312"/>
          <w:bCs/>
          <w:szCs w:val="32"/>
        </w:rPr>
        <w:t>单位按</w:t>
      </w:r>
      <w:r>
        <w:rPr>
          <w:rFonts w:hint="eastAsia" w:ascii="仿宋_GB2312" w:hAnsi="仿宋_GB2312" w:cs="仿宋_GB2312"/>
          <w:bCs/>
          <w:szCs w:val="32"/>
          <w:u w:val="single"/>
        </w:rPr>
        <w:t>（□月、□季度、□年度）</w:t>
      </w:r>
      <w:r>
        <w:rPr>
          <w:rFonts w:hint="eastAsia" w:ascii="仿宋_GB2312" w:hAnsi="仿宋_GB2312" w:cs="仿宋_GB2312"/>
          <w:bCs/>
          <w:szCs w:val="32"/>
        </w:rPr>
        <w:t>将全部缴费款项按时、足额汇至托管人开立的企业年金基金受托财产托管专户。</w:t>
      </w:r>
    </w:p>
    <w:p>
      <w:pPr>
        <w:pStyle w:val="52"/>
        <w:snapToGrid/>
        <w:ind w:firstLine="643"/>
        <w:contextualSpacing/>
        <w:rPr>
          <w:rFonts w:ascii="仿宋_GB2312" w:hAnsi="仿宋_GB2312" w:cs="仿宋_GB2312"/>
          <w:szCs w:val="32"/>
        </w:rPr>
      </w:pPr>
      <w:r>
        <w:rPr>
          <w:rFonts w:hint="eastAsia" w:ascii="仿宋_GB2312" w:hAnsi="仿宋_GB2312" w:cs="仿宋_GB2312"/>
          <w:b/>
          <w:szCs w:val="32"/>
        </w:rPr>
        <w:t>第十五条</w:t>
      </w:r>
      <w:r>
        <w:rPr>
          <w:rFonts w:hint="eastAsia" w:ascii="仿宋_GB2312" w:hAnsi="仿宋_GB2312" w:cs="仿宋_GB2312"/>
          <w:szCs w:val="32"/>
        </w:rPr>
        <w:t xml:space="preserve"> 企业年金缴费的暂停、恢复和补缴</w:t>
      </w:r>
    </w:p>
    <w:p>
      <w:pPr>
        <w:snapToGrid/>
        <w:ind w:firstLine="640"/>
        <w:contextualSpacing/>
        <w:rPr>
          <w:rFonts w:ascii="仿宋_GB2312" w:hAnsi="仿宋_GB2312" w:cs="仿宋_GB2312"/>
          <w:szCs w:val="32"/>
        </w:rPr>
      </w:pPr>
      <w:bookmarkStart w:id="23" w:name="_Toc238376849"/>
      <w:bookmarkStart w:id="24" w:name="_Toc243825267"/>
      <w:bookmarkStart w:id="25" w:name="_Toc318811834"/>
      <w:bookmarkStart w:id="26" w:name="_Toc383080241"/>
      <w:r>
        <w:rPr>
          <w:rFonts w:hint="eastAsia" w:ascii="仿宋_GB2312" w:hAnsi="仿宋_GB2312" w:cs="仿宋_GB2312"/>
          <w:szCs w:val="32"/>
        </w:rPr>
        <w:t>（一）单位出现亏损、停业等特殊情况无法履行缴费义务时，可暂停缴费，职工同时暂停缴费；单位情况好转后恢复缴费，职工同时恢复缴费。因单位原因暂停缴费的，恢复缴费后单位可以视经济情况予以补缴，职工个人（</w:t>
      </w:r>
      <w:r>
        <w:rPr>
          <w:rFonts w:hint="eastAsia" w:ascii="仿宋_GB2312" w:hAnsi="仿宋_GB2312" w:cs="仿宋_GB2312"/>
          <w:szCs w:val="32"/>
          <w:u w:val="single"/>
        </w:rPr>
        <w:t>□补缴□不补缴）</w:t>
      </w:r>
      <w:r>
        <w:rPr>
          <w:rFonts w:hint="eastAsia" w:ascii="仿宋_GB2312" w:hAnsi="仿宋_GB2312" w:cs="仿宋_GB2312"/>
          <w:szCs w:val="32"/>
        </w:rPr>
        <w:t>暂停缴费期间个人缴费。补缴年限不得超过实际暂停缴费年限；</w:t>
      </w:r>
    </w:p>
    <w:p>
      <w:pPr>
        <w:ind w:firstLine="640"/>
        <w:rPr>
          <w:rFonts w:ascii="仿宋_GB2312" w:hAnsi="仿宋_GB2312" w:cs="仿宋_GB2312"/>
          <w:szCs w:val="32"/>
        </w:rPr>
      </w:pPr>
      <w:r>
        <w:rPr>
          <w:rFonts w:hint="eastAsia" w:ascii="仿宋_GB2312" w:hAnsi="仿宋_GB2312" w:cs="仿宋_GB2312"/>
          <w:szCs w:val="32"/>
        </w:rPr>
        <w:t>（二）职工个人可以申请暂停或恢复缴费。申请暂停缴费的条件是</w:t>
      </w:r>
      <w:r>
        <w:rPr>
          <w:rFonts w:hint="eastAsia" w:ascii="仿宋_GB2312" w:hAnsi="仿宋_GB2312" w:cs="仿宋_GB2312"/>
          <w:szCs w:val="32"/>
          <w:u w:val="single"/>
        </w:rPr>
        <w:t xml:space="preserve">          </w:t>
      </w:r>
      <w:r>
        <w:rPr>
          <w:rFonts w:hint="eastAsia" w:ascii="仿宋_GB2312" w:hAnsi="仿宋_GB2312" w:cs="仿宋_GB2312"/>
          <w:szCs w:val="32"/>
        </w:rPr>
        <w:t>，恢复缴费的条件是</w:t>
      </w:r>
      <w:r>
        <w:rPr>
          <w:rFonts w:hint="eastAsia" w:ascii="仿宋_GB2312" w:hAnsi="仿宋_GB2312" w:cs="仿宋_GB2312"/>
          <w:szCs w:val="32"/>
          <w:u w:val="single"/>
        </w:rPr>
        <w:t xml:space="preserve">            </w:t>
      </w:r>
      <w:r>
        <w:rPr>
          <w:rFonts w:hint="eastAsia" w:ascii="仿宋_GB2312" w:hAnsi="仿宋_GB2312" w:cs="仿宋_GB2312"/>
          <w:szCs w:val="32"/>
        </w:rPr>
        <w:t>，同时填写《职工暂停（恢复）缴费企业年金申请表》（附件②），并经本单位确认后执行。个人暂停缴费期间，单位缴费也相应暂停，个人账户继续在本计划中管理；个人恢复缴费时单位缴费也同时恢复；不弥补暂停缴费期间的单位和个人缴费。</w:t>
      </w:r>
    </w:p>
    <w:p>
      <w:pPr>
        <w:pStyle w:val="3"/>
        <w:snapToGrid/>
        <w:spacing w:line="360" w:lineRule="auto"/>
        <w:ind w:firstLine="640"/>
        <w:contextualSpacing/>
        <w:jc w:val="center"/>
        <w:rPr>
          <w:rFonts w:ascii="黑体" w:eastAsia="黑体"/>
          <w:b w:val="0"/>
        </w:rPr>
      </w:pPr>
      <w:r>
        <w:rPr>
          <w:rFonts w:hint="eastAsia" w:ascii="黑体" w:eastAsia="黑体"/>
          <w:b w:val="0"/>
        </w:rPr>
        <w:t>第四章</w:t>
      </w:r>
      <w:r>
        <w:rPr>
          <w:rFonts w:ascii="黑体" w:eastAsia="黑体"/>
          <w:b w:val="0"/>
        </w:rPr>
        <w:t xml:space="preserve">  </w:t>
      </w:r>
      <w:r>
        <w:rPr>
          <w:rFonts w:hint="eastAsia" w:ascii="黑体" w:eastAsia="黑体"/>
          <w:b w:val="0"/>
        </w:rPr>
        <w:t>账户管理</w:t>
      </w:r>
      <w:bookmarkEnd w:id="23"/>
      <w:bookmarkEnd w:id="24"/>
      <w:bookmarkEnd w:id="25"/>
      <w:bookmarkEnd w:id="26"/>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第十六条 </w:t>
      </w:r>
      <w:r>
        <w:rPr>
          <w:rFonts w:hint="eastAsia" w:ascii="仿宋_GB2312" w:hAnsi="仿宋_GB2312" w:cs="仿宋_GB2312"/>
          <w:szCs w:val="32"/>
        </w:rPr>
        <w:t>本企业年金基金实行完全积累制度，采用个人账户方式进行管理，为参加职工开立个人账户，同时建立企业账户用于记录暂未分配至个人账户的单位缴费及其投资收益。</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第十七条 </w:t>
      </w:r>
      <w:r>
        <w:rPr>
          <w:rFonts w:hint="eastAsia" w:ascii="仿宋_GB2312" w:hAnsi="仿宋_GB2312" w:cs="仿宋_GB2312"/>
          <w:szCs w:val="32"/>
        </w:rPr>
        <w:t>个人账户下设单位缴费子账户和个人缴费子账户，分别记录单位缴费分配给职工个人的部分及其投资收益、职工个人缴费及其投资收益。</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第十八条 </w:t>
      </w:r>
      <w:r>
        <w:rPr>
          <w:rFonts w:hint="eastAsia" w:ascii="仿宋_GB2312" w:hAnsi="仿宋_GB2312" w:cs="仿宋_GB2312"/>
          <w:szCs w:val="32"/>
        </w:rPr>
        <w:t>个人账户的转移和保留</w:t>
      </w:r>
    </w:p>
    <w:p>
      <w:pPr>
        <w:snapToGrid/>
        <w:ind w:firstLine="640"/>
        <w:contextualSpacing/>
        <w:rPr>
          <w:rFonts w:ascii="仿宋_GB2312" w:hAnsi="仿宋_GB2312" w:cs="仿宋_GB2312"/>
          <w:szCs w:val="32"/>
        </w:rPr>
      </w:pPr>
      <w:r>
        <w:rPr>
          <w:rFonts w:hint="eastAsia" w:ascii="仿宋_GB2312" w:hAnsi="仿宋_GB2312" w:cs="仿宋_GB2312"/>
          <w:szCs w:val="32"/>
        </w:rPr>
        <w:t>职工与本单位终止、解除劳动合同的，其个人账户转移或保留。</w:t>
      </w:r>
    </w:p>
    <w:p>
      <w:pPr>
        <w:snapToGrid/>
        <w:ind w:firstLine="640"/>
        <w:contextualSpacing/>
        <w:rPr>
          <w:rFonts w:ascii="仿宋_GB2312" w:hAnsi="仿宋_GB2312" w:cs="仿宋_GB2312"/>
          <w:szCs w:val="32"/>
          <w:u w:val="single"/>
        </w:rPr>
      </w:pPr>
      <w:r>
        <w:rPr>
          <w:rFonts w:hint="eastAsia" w:ascii="仿宋_GB2312" w:hAnsi="仿宋_GB2312" w:cs="仿宋_GB2312"/>
          <w:szCs w:val="32"/>
        </w:rPr>
        <w:t>（一）职工与本单位终止、解除劳动合同，新就业单位已建立企业年金或职业年金的，其个人账户应当转入新就业单位的企业年金计划或职业年金计划管理；</w:t>
      </w:r>
    </w:p>
    <w:p>
      <w:pPr>
        <w:snapToGrid/>
        <w:ind w:firstLine="640"/>
        <w:contextualSpacing/>
        <w:rPr>
          <w:rFonts w:ascii="仿宋_GB2312" w:hAnsi="仿宋_GB2312" w:cs="仿宋_GB2312"/>
          <w:szCs w:val="32"/>
        </w:rPr>
      </w:pPr>
      <w:r>
        <w:rPr>
          <w:rFonts w:hint="eastAsia" w:ascii="仿宋_GB2312" w:hAnsi="仿宋_GB2312" w:cs="仿宋_GB2312"/>
          <w:szCs w:val="32"/>
        </w:rPr>
        <w:t>（二）职工与本单位终止、解除劳动合同，未就业、新就业单位没有建立企业年金或职业年金的，其个人账户按方式</w:t>
      </w:r>
      <w:r>
        <w:rPr>
          <w:rFonts w:hint="eastAsia" w:ascii="仿宋_GB2312" w:hAnsi="仿宋_GB2312" w:cs="仿宋_GB2312"/>
          <w:szCs w:val="32"/>
          <w:u w:val="single"/>
        </w:rPr>
        <w:t xml:space="preserve">   </w:t>
      </w:r>
      <w:r>
        <w:rPr>
          <w:rFonts w:hint="eastAsia" w:ascii="仿宋_GB2312" w:hAnsi="仿宋_GB2312" w:cs="仿宋_GB2312"/>
          <w:szCs w:val="32"/>
        </w:rPr>
        <w:t>处理：</w:t>
      </w:r>
    </w:p>
    <w:p>
      <w:pPr>
        <w:snapToGrid/>
        <w:ind w:firstLine="640"/>
        <w:contextualSpacing/>
        <w:rPr>
          <w:rFonts w:ascii="仿宋_GB2312" w:hAnsi="仿宋_GB2312" w:cs="仿宋_GB2312"/>
          <w:szCs w:val="32"/>
        </w:rPr>
      </w:pPr>
      <w:r>
        <w:rPr>
          <w:rFonts w:hint="eastAsia" w:ascii="仿宋_GB2312" w:hAnsi="仿宋_GB2312" w:cs="仿宋_GB2312"/>
          <w:szCs w:val="32"/>
        </w:rPr>
        <w:t>方式1：转入本计划法人受托机构发起的集合计划设置的保留账户统一管理。保留账户的账户管理费从职工个人账户中扣除；</w:t>
      </w:r>
    </w:p>
    <w:p>
      <w:pPr>
        <w:snapToGrid/>
        <w:ind w:firstLine="640"/>
        <w:contextualSpacing/>
        <w:rPr>
          <w:rFonts w:ascii="仿宋_GB2312" w:hAnsi="仿宋_GB2312" w:cs="仿宋_GB2312"/>
          <w:szCs w:val="32"/>
        </w:rPr>
      </w:pPr>
      <w:r>
        <w:rPr>
          <w:rFonts w:hint="eastAsia" w:ascii="仿宋_GB2312" w:hAnsi="仿宋_GB2312" w:cs="仿宋_GB2312"/>
          <w:szCs w:val="32"/>
        </w:rPr>
        <w:t>方式2：作为保留账户在本计划中继续管理。保留账户的账户管理费</w:t>
      </w:r>
      <w:r>
        <w:rPr>
          <w:rFonts w:hint="eastAsia" w:ascii="仿宋_GB2312" w:hAnsi="仿宋_GB2312" w:cs="仿宋_GB2312"/>
          <w:szCs w:val="32"/>
          <w:u w:val="single"/>
        </w:rPr>
        <w:t>（□由本单位负担、□从职工个人账户中扣除）</w:t>
      </w:r>
      <w:r>
        <w:rPr>
          <w:rFonts w:hint="eastAsia" w:ascii="仿宋_GB2312" w:hAnsi="仿宋_GB2312" w:cs="仿宋_GB2312"/>
          <w:szCs w:val="32"/>
        </w:rPr>
        <w:t>；</w:t>
      </w:r>
    </w:p>
    <w:p>
      <w:pPr>
        <w:snapToGrid/>
        <w:ind w:firstLine="640"/>
        <w:contextualSpacing/>
        <w:rPr>
          <w:rFonts w:ascii="仿宋_GB2312" w:hAnsi="仿宋_GB2312" w:cs="仿宋_GB2312"/>
          <w:szCs w:val="32"/>
        </w:rPr>
      </w:pPr>
      <w:r>
        <w:rPr>
          <w:rFonts w:hint="eastAsia" w:ascii="仿宋_GB2312" w:hAnsi="仿宋_GB2312" w:cs="仿宋_GB2312"/>
          <w:szCs w:val="32"/>
        </w:rPr>
        <w:t>方式3：（理事会受托管理的企业年金计划）转入由本单位与职工协商选定的法人受托机构发起的集合计划设置的保留账户统一管理。保留账户的账户管理费从职工个人账户中扣除；</w:t>
      </w:r>
    </w:p>
    <w:p>
      <w:pPr>
        <w:snapToGrid/>
        <w:ind w:firstLine="640"/>
        <w:contextualSpacing/>
        <w:rPr>
          <w:rFonts w:ascii="仿宋_GB2312" w:hAnsi="仿宋_GB2312" w:cs="仿宋_GB2312"/>
          <w:szCs w:val="32"/>
        </w:rPr>
      </w:pPr>
      <w:r>
        <w:rPr>
          <w:rFonts w:hint="eastAsia" w:ascii="仿宋_GB2312" w:hAnsi="仿宋_GB2312" w:cs="仿宋_GB2312"/>
          <w:szCs w:val="32"/>
        </w:rPr>
        <w:t>方式4：</w:t>
      </w:r>
      <w:r>
        <w:rPr>
          <w:rFonts w:hint="eastAsia" w:ascii="仿宋_GB2312" w:hAnsi="仿宋_GB2312" w:cs="仿宋_GB2312"/>
          <w:szCs w:val="32"/>
          <w:u w:val="single"/>
        </w:rPr>
        <w:t xml:space="preserve">（其他方式）             </w:t>
      </w:r>
      <w:r>
        <w:rPr>
          <w:rFonts w:hint="eastAsia" w:ascii="仿宋_GB2312" w:hAnsi="仿宋_GB2312" w:cs="仿宋_GB2312"/>
          <w:szCs w:val="32"/>
        </w:rPr>
        <w:t>。</w:t>
      </w:r>
    </w:p>
    <w:p>
      <w:pPr>
        <w:snapToGrid/>
        <w:ind w:firstLine="640"/>
        <w:contextualSpacing/>
        <w:rPr>
          <w:rFonts w:ascii="仿宋_GB2312" w:hAnsi="仿宋_GB2312" w:cs="仿宋_GB2312"/>
          <w:szCs w:val="32"/>
        </w:rPr>
      </w:pPr>
      <w:r>
        <w:rPr>
          <w:rFonts w:hint="eastAsia" w:ascii="仿宋_GB2312" w:hAnsi="仿宋_GB2312" w:cs="仿宋_GB2312"/>
          <w:szCs w:val="32"/>
        </w:rPr>
        <w:t>（三）在集团公司</w:t>
      </w:r>
      <w:r>
        <w:rPr>
          <w:rStyle w:val="29"/>
          <w:rFonts w:hint="eastAsia" w:ascii="仿宋_GB2312" w:hAnsi="仿宋_GB2312" w:cs="仿宋_GB2312"/>
          <w:szCs w:val="32"/>
        </w:rPr>
        <w:footnoteReference w:id="5"/>
      </w:r>
      <w:r>
        <w:rPr>
          <w:rFonts w:hint="eastAsia" w:ascii="仿宋_GB2312" w:hAnsi="仿宋_GB2312" w:cs="仿宋_GB2312"/>
          <w:szCs w:val="32"/>
        </w:rPr>
        <w:t>内部调动新单位未实行企业年金制度的，其个人账户作为保留账户由原单位继续管理。保留账户的账户管理费</w:t>
      </w:r>
      <w:r>
        <w:rPr>
          <w:rFonts w:hint="eastAsia" w:ascii="仿宋_GB2312" w:hAnsi="仿宋_GB2312" w:cs="仿宋_GB2312"/>
          <w:szCs w:val="32"/>
          <w:u w:val="single"/>
        </w:rPr>
        <w:t>（□由原单位负担、□从职工个人账户中扣除）</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第十九条 </w:t>
      </w:r>
      <w:r>
        <w:rPr>
          <w:rFonts w:hint="eastAsia" w:ascii="仿宋_GB2312" w:hAnsi="仿宋_GB2312" w:cs="仿宋_GB2312"/>
          <w:szCs w:val="32"/>
        </w:rPr>
        <w:t>满足下列条件之一时，个人账户注销：</w:t>
      </w:r>
    </w:p>
    <w:p>
      <w:pPr>
        <w:snapToGrid/>
        <w:ind w:firstLine="640"/>
        <w:contextualSpacing/>
        <w:rPr>
          <w:rFonts w:ascii="仿宋_GB2312" w:hAnsi="仿宋_GB2312" w:cs="仿宋_GB2312"/>
          <w:szCs w:val="32"/>
        </w:rPr>
      </w:pPr>
      <w:r>
        <w:rPr>
          <w:rFonts w:hint="eastAsia" w:ascii="仿宋_GB2312" w:hAnsi="仿宋_GB2312" w:cs="仿宋_GB2312"/>
          <w:szCs w:val="32"/>
        </w:rPr>
        <w:t>（一）职工领取完其个人账户资金；</w:t>
      </w:r>
    </w:p>
    <w:p>
      <w:pPr>
        <w:snapToGrid/>
        <w:ind w:firstLine="640"/>
        <w:contextualSpacing/>
        <w:rPr>
          <w:rFonts w:ascii="仿宋_GB2312" w:hAnsi="仿宋_GB2312" w:cs="仿宋_GB2312"/>
          <w:szCs w:val="32"/>
        </w:rPr>
      </w:pPr>
      <w:r>
        <w:rPr>
          <w:rFonts w:hint="eastAsia" w:ascii="仿宋_GB2312" w:hAnsi="仿宋_GB2312" w:cs="仿宋_GB2312"/>
          <w:szCs w:val="32"/>
        </w:rPr>
        <w:t>（二）职工身故，其个人账户余额由指定受益人或法定继承人全部领取完毕；</w:t>
      </w:r>
    </w:p>
    <w:p>
      <w:pPr>
        <w:snapToGrid/>
        <w:ind w:firstLine="640"/>
        <w:contextualSpacing/>
        <w:rPr>
          <w:rFonts w:ascii="仿宋_GB2312" w:hAnsi="仿宋_GB2312" w:cs="仿宋_GB2312"/>
          <w:szCs w:val="32"/>
        </w:rPr>
      </w:pPr>
      <w:r>
        <w:rPr>
          <w:rFonts w:hint="eastAsia" w:ascii="仿宋_GB2312" w:hAnsi="仿宋_GB2312" w:cs="仿宋_GB2312"/>
          <w:szCs w:val="32"/>
        </w:rPr>
        <w:t>（三）个人账户转移至新单位的企业年金计划或职业年金计划。</w:t>
      </w:r>
    </w:p>
    <w:p>
      <w:pPr>
        <w:pStyle w:val="3"/>
        <w:snapToGrid/>
        <w:spacing w:line="360" w:lineRule="auto"/>
        <w:ind w:firstLine="640"/>
        <w:contextualSpacing/>
        <w:jc w:val="center"/>
        <w:rPr>
          <w:rFonts w:ascii="黑体" w:eastAsia="黑体"/>
          <w:b w:val="0"/>
        </w:rPr>
      </w:pPr>
      <w:bookmarkStart w:id="27" w:name="_Toc238376851"/>
      <w:bookmarkStart w:id="28" w:name="_Toc243825269"/>
      <w:bookmarkStart w:id="29" w:name="_Toc318811836"/>
      <w:bookmarkStart w:id="30" w:name="_Toc383080242"/>
      <w:r>
        <w:rPr>
          <w:rFonts w:hint="eastAsia" w:ascii="黑体" w:eastAsia="黑体"/>
          <w:b w:val="0"/>
        </w:rPr>
        <w:t>第五章  权益归属</w:t>
      </w:r>
      <w:bookmarkEnd w:id="27"/>
      <w:bookmarkEnd w:id="28"/>
      <w:bookmarkEnd w:id="29"/>
      <w:bookmarkEnd w:id="30"/>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第二十条 </w:t>
      </w:r>
      <w:r>
        <w:rPr>
          <w:rFonts w:hint="eastAsia" w:ascii="仿宋_GB2312" w:hAnsi="仿宋_GB2312" w:cs="仿宋_GB2312"/>
          <w:szCs w:val="32"/>
        </w:rPr>
        <w:t>职工个人缴费部分及其投资运营收益全部归属职工个人。</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第二十一条 </w:t>
      </w:r>
      <w:r>
        <w:rPr>
          <w:rFonts w:hint="eastAsia" w:ascii="仿宋_GB2312" w:hAnsi="仿宋_GB2312" w:cs="仿宋_GB2312"/>
          <w:szCs w:val="32"/>
        </w:rPr>
        <w:t>单位缴费部分权益归属规则</w:t>
      </w:r>
      <w:r>
        <w:rPr>
          <w:rStyle w:val="29"/>
          <w:rFonts w:hint="eastAsia" w:ascii="仿宋_GB2312" w:hAnsi="仿宋_GB2312" w:cs="仿宋_GB2312"/>
          <w:szCs w:val="32"/>
        </w:rPr>
        <w:footnoteReference w:id="6"/>
      </w:r>
    </w:p>
    <w:p>
      <w:pPr>
        <w:snapToGrid/>
        <w:ind w:firstLine="640" w:firstLineChars="0"/>
        <w:contextualSpacing/>
        <w:rPr>
          <w:rFonts w:ascii="仿宋_GB2312" w:hAnsi="仿宋_GB2312" w:cs="仿宋_GB2312"/>
          <w:szCs w:val="32"/>
        </w:rPr>
      </w:pPr>
      <w:r>
        <w:rPr>
          <w:rFonts w:hint="eastAsia" w:ascii="仿宋_GB2312" w:hAnsi="仿宋_GB2312" w:cs="仿宋_GB2312"/>
          <w:szCs w:val="32"/>
        </w:rPr>
        <w:t>单位缴费划入个人账户部分形成的权益，按以下规则归属于职工个人，未归属于职工个人的部分，划入企业账户。</w:t>
      </w:r>
    </w:p>
    <w:tbl>
      <w:tblPr>
        <w:tblStyle w:val="26"/>
        <w:tblpPr w:leftFromText="180" w:rightFromText="180" w:vertAnchor="text" w:horzAnchor="margin" w:tblpY="3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8"/>
        <w:gridCol w:w="340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368"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权益归属核算时点</w:t>
            </w: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N</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8" w:type="dxa"/>
            <w:vMerge w:val="restart"/>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职工与本单位终止、解除劳动合同</w:t>
            </w: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 xml:space="preserve">N&lt;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8" w:type="dxa"/>
            <w:vMerge w:val="continue"/>
            <w:vAlign w:val="center"/>
          </w:tcPr>
          <w:p>
            <w:pPr>
              <w:snapToGrid/>
              <w:spacing w:line="520" w:lineRule="exact"/>
              <w:ind w:firstLine="0" w:firstLineChars="0"/>
              <w:contextualSpacing/>
              <w:jc w:val="center"/>
              <w:rPr>
                <w:rFonts w:ascii="仿宋_GB2312" w:hAnsi="仿宋_GB2312" w:cs="仿宋_GB2312"/>
                <w:sz w:val="28"/>
                <w:szCs w:val="28"/>
              </w:rPr>
            </w:pP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u w:val="single"/>
              </w:rPr>
              <w:t xml:space="preserve">  </w:t>
            </w:r>
            <w:r>
              <w:rPr>
                <w:rFonts w:hint="eastAsia" w:ascii="仿宋_GB2312" w:hAnsi="仿宋_GB2312" w:cs="仿宋_GB2312"/>
                <w:sz w:val="28"/>
                <w:szCs w:val="28"/>
              </w:rPr>
              <w:t>年≤N&lt;</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8" w:type="dxa"/>
            <w:vMerge w:val="continue"/>
            <w:vAlign w:val="center"/>
          </w:tcPr>
          <w:p>
            <w:pPr>
              <w:snapToGrid/>
              <w:spacing w:line="520" w:lineRule="exact"/>
              <w:ind w:firstLine="0" w:firstLineChars="0"/>
              <w:contextualSpacing/>
              <w:jc w:val="center"/>
              <w:rPr>
                <w:rFonts w:ascii="仿宋_GB2312" w:hAnsi="仿宋_GB2312" w:cs="仿宋_GB2312"/>
                <w:sz w:val="28"/>
                <w:szCs w:val="28"/>
              </w:rPr>
            </w:pP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8" w:type="dxa"/>
            <w:vMerge w:val="continue"/>
            <w:vAlign w:val="center"/>
          </w:tcPr>
          <w:p>
            <w:pPr>
              <w:snapToGrid/>
              <w:spacing w:line="520" w:lineRule="exact"/>
              <w:ind w:firstLine="0" w:firstLineChars="0"/>
              <w:contextualSpacing/>
              <w:jc w:val="center"/>
              <w:rPr>
                <w:rFonts w:ascii="仿宋_GB2312" w:hAnsi="仿宋_GB2312" w:cs="仿宋_GB2312"/>
                <w:sz w:val="28"/>
                <w:szCs w:val="28"/>
              </w:rPr>
            </w:pP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N≥</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368"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退休或在职身故</w:t>
            </w: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68"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（其他特殊情况）</w:t>
            </w:r>
            <w:r>
              <w:rPr>
                <w:rStyle w:val="29"/>
                <w:rFonts w:hint="eastAsia" w:ascii="仿宋_GB2312" w:hAnsi="仿宋_GB2312" w:cs="仿宋_GB2312"/>
                <w:sz w:val="28"/>
                <w:szCs w:val="28"/>
              </w:rPr>
              <w:footnoteReference w:id="7"/>
            </w:r>
          </w:p>
        </w:tc>
        <w:tc>
          <w:tcPr>
            <w:tcW w:w="3403"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c>
          <w:tcPr>
            <w:tcW w:w="1757" w:type="dxa"/>
            <w:vAlign w:val="center"/>
          </w:tcPr>
          <w:p>
            <w:pPr>
              <w:snapToGrid/>
              <w:spacing w:line="520" w:lineRule="exact"/>
              <w:ind w:firstLine="0" w:firstLineChars="0"/>
              <w:contextualSpacing/>
              <w:jc w:val="center"/>
              <w:rPr>
                <w:rFonts w:ascii="仿宋_GB2312" w:hAnsi="仿宋_GB2312" w:cs="仿宋_GB2312"/>
                <w:sz w:val="28"/>
                <w:szCs w:val="28"/>
              </w:rPr>
            </w:pPr>
            <w:r>
              <w:rPr>
                <w:rFonts w:hint="eastAsia" w:ascii="仿宋_GB2312" w:hAnsi="仿宋_GB2312" w:cs="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3"/>
            <w:vAlign w:val="center"/>
          </w:tcPr>
          <w:p>
            <w:pPr>
              <w:snapToGrid/>
              <w:spacing w:line="520" w:lineRule="exact"/>
              <w:ind w:firstLine="0" w:firstLineChars="0"/>
              <w:contextualSpacing/>
              <w:rPr>
                <w:rFonts w:ascii="仿宋_GB2312" w:hAnsi="仿宋_GB2312" w:cs="仿宋_GB2312"/>
                <w:sz w:val="28"/>
                <w:szCs w:val="28"/>
              </w:rPr>
            </w:pPr>
            <w:r>
              <w:rPr>
                <w:rFonts w:hint="eastAsia" w:ascii="仿宋_GB2312" w:hAnsi="仿宋_GB2312" w:cs="仿宋_GB2312"/>
                <w:sz w:val="28"/>
                <w:szCs w:val="28"/>
              </w:rPr>
              <w:t>备注：</w:t>
            </w:r>
          </w:p>
          <w:p>
            <w:pPr>
              <w:numPr>
                <w:ilvl w:val="0"/>
                <w:numId w:val="1"/>
              </w:numPr>
              <w:snapToGrid/>
              <w:spacing w:line="520" w:lineRule="exact"/>
              <w:ind w:firstLine="0" w:firstLineChars="0"/>
              <w:contextualSpacing/>
              <w:rPr>
                <w:rFonts w:ascii="仿宋_GB2312" w:hAnsi="仿宋_GB2312" w:cs="仿宋_GB2312"/>
                <w:sz w:val="28"/>
                <w:szCs w:val="28"/>
              </w:rPr>
            </w:pPr>
            <w:r>
              <w:rPr>
                <w:rFonts w:hint="eastAsia" w:ascii="仿宋_GB2312" w:hAnsi="仿宋_GB2312" w:cs="仿宋_GB2312"/>
                <w:sz w:val="28"/>
                <w:szCs w:val="28"/>
              </w:rPr>
              <w:t>N是指在</w:t>
            </w:r>
            <w:r>
              <w:rPr>
                <w:rFonts w:hint="eastAsia" w:ascii="仿宋_GB2312" w:hAnsi="仿宋_GB2312" w:cs="仿宋_GB2312"/>
                <w:sz w:val="28"/>
                <w:szCs w:val="28"/>
                <w:u w:val="single"/>
              </w:rPr>
              <w:t xml:space="preserve">   （本单位的工作年限、参加本细则的年限）</w:t>
            </w:r>
            <w:r>
              <w:rPr>
                <w:rStyle w:val="29"/>
                <w:rFonts w:hint="eastAsia" w:ascii="仿宋_GB2312" w:hAnsi="仿宋_GB2312" w:cs="仿宋_GB2312"/>
                <w:sz w:val="28"/>
                <w:szCs w:val="28"/>
                <w:u w:val="single"/>
              </w:rPr>
              <w:footnoteReference w:id="8"/>
            </w:r>
            <w:r>
              <w:rPr>
                <w:rFonts w:hint="eastAsia" w:ascii="仿宋_GB2312" w:hAnsi="仿宋_GB2312" w:cs="仿宋_GB2312"/>
                <w:sz w:val="28"/>
                <w:szCs w:val="28"/>
                <w:u w:val="single"/>
              </w:rPr>
              <w:t>。</w:t>
            </w:r>
          </w:p>
          <w:p>
            <w:pPr>
              <w:numPr>
                <w:ilvl w:val="0"/>
                <w:numId w:val="1"/>
              </w:numPr>
              <w:snapToGrid/>
              <w:spacing w:line="520" w:lineRule="exact"/>
              <w:ind w:firstLine="0" w:firstLineChars="0"/>
              <w:contextualSpacing/>
              <w:rPr>
                <w:rFonts w:ascii="仿宋_GB2312" w:hAnsi="仿宋_GB2312" w:cs="仿宋_GB2312"/>
                <w:sz w:val="28"/>
                <w:szCs w:val="28"/>
              </w:rPr>
            </w:pPr>
            <w:r>
              <w:rPr>
                <w:rFonts w:hint="eastAsia" w:ascii="仿宋_GB2312" w:hAnsi="仿宋_GB2312" w:cs="仿宋_GB2312"/>
                <w:sz w:val="28"/>
                <w:szCs w:val="28"/>
                <w:u w:val="single"/>
              </w:rPr>
              <w:t>（其他需要说明的事项）                           。</w:t>
            </w:r>
          </w:p>
        </w:tc>
      </w:tr>
    </w:tbl>
    <w:p>
      <w:pPr>
        <w:snapToGrid/>
        <w:ind w:firstLine="640" w:firstLineChars="0"/>
        <w:contextualSpacing/>
        <w:rPr>
          <w:rFonts w:ascii="仿宋_GB2312" w:hAnsi="仿宋_GB2312" w:cs="仿宋_GB2312"/>
          <w:szCs w:val="32"/>
        </w:rPr>
      </w:pPr>
    </w:p>
    <w:p>
      <w:pPr>
        <w:snapToGrid/>
        <w:spacing w:beforeLines="100"/>
        <w:ind w:firstLine="640" w:firstLineChars="0"/>
        <w:contextualSpacing/>
        <w:rPr>
          <w:rFonts w:ascii="仿宋_GB2312" w:hAnsi="仿宋_GB2312" w:cs="仿宋_GB2312"/>
          <w:szCs w:val="32"/>
        </w:rPr>
      </w:pPr>
      <w:r>
        <w:rPr>
          <w:rFonts w:hint="eastAsia" w:ascii="仿宋_GB2312" w:hAnsi="仿宋_GB2312" w:cs="仿宋_GB2312"/>
          <w:b/>
          <w:bCs/>
          <w:szCs w:val="32"/>
        </w:rPr>
        <w:t xml:space="preserve">第二十二条 </w:t>
      </w:r>
      <w:r>
        <w:rPr>
          <w:rFonts w:hint="eastAsia" w:ascii="仿宋_GB2312" w:hAnsi="仿宋_GB2312" w:cs="仿宋_GB2312"/>
          <w:szCs w:val="32"/>
        </w:rPr>
        <w:t>补偿缴费归属规则</w:t>
      </w:r>
      <w:r>
        <w:rPr>
          <w:rStyle w:val="29"/>
          <w:rFonts w:hint="eastAsia" w:ascii="仿宋_GB2312" w:hAnsi="仿宋_GB2312" w:cs="仿宋_GB2312"/>
          <w:szCs w:val="32"/>
        </w:rPr>
        <w:footnoteReference w:id="9"/>
      </w:r>
    </w:p>
    <w:p>
      <w:pPr>
        <w:snapToGrid/>
        <w:ind w:firstLine="640"/>
        <w:contextualSpacing/>
        <w:rPr>
          <w:rFonts w:ascii="仿宋_GB2312" w:hAnsi="仿宋_GB2312" w:cs="仿宋_GB2312"/>
          <w:szCs w:val="32"/>
        </w:rPr>
      </w:pPr>
      <w:bookmarkStart w:id="31" w:name="_Toc238376850"/>
      <w:bookmarkStart w:id="32" w:name="_Toc243825268"/>
      <w:bookmarkStart w:id="33" w:name="_Toc318811835"/>
      <w:bookmarkStart w:id="34" w:name="_Toc243825270"/>
      <w:bookmarkStart w:id="35" w:name="_Toc238376852"/>
      <w:bookmarkStart w:id="36" w:name="_Toc318811837"/>
      <w:r>
        <w:rPr>
          <w:rFonts w:hint="eastAsia" w:ascii="仿宋_GB2312" w:hAnsi="仿宋_GB2312" w:cs="仿宋_GB2312"/>
          <w:szCs w:val="32"/>
        </w:rPr>
        <w:t>补偿缴费按照方式</w:t>
      </w:r>
      <w:r>
        <w:rPr>
          <w:rFonts w:hint="eastAsia" w:ascii="仿宋_GB2312" w:hAnsi="仿宋_GB2312" w:cs="仿宋_GB2312"/>
          <w:szCs w:val="32"/>
          <w:u w:val="single"/>
        </w:rPr>
        <w:t xml:space="preserve">   </w:t>
      </w:r>
      <w:r>
        <w:rPr>
          <w:rFonts w:hint="eastAsia" w:ascii="仿宋_GB2312" w:hAnsi="仿宋_GB2312" w:cs="仿宋_GB2312"/>
          <w:szCs w:val="32"/>
        </w:rPr>
        <w:t>归属。</w:t>
      </w:r>
    </w:p>
    <w:p>
      <w:pPr>
        <w:snapToGrid/>
        <w:ind w:firstLine="640"/>
        <w:contextualSpacing/>
        <w:rPr>
          <w:rFonts w:ascii="仿宋_GB2312" w:hAnsi="仿宋_GB2312" w:cs="仿宋_GB2312"/>
          <w:szCs w:val="32"/>
        </w:rPr>
      </w:pPr>
      <w:r>
        <w:rPr>
          <w:rFonts w:hint="eastAsia" w:ascii="仿宋_GB2312" w:hAnsi="仿宋_GB2312" w:cs="仿宋_GB2312"/>
          <w:szCs w:val="32"/>
        </w:rPr>
        <w:t>方式1：职工退休前归属比例为0%，退休后100%归属；</w:t>
      </w:r>
    </w:p>
    <w:p>
      <w:pPr>
        <w:snapToGrid/>
        <w:ind w:firstLine="640"/>
        <w:contextualSpacing/>
        <w:rPr>
          <w:rFonts w:ascii="仿宋_GB2312" w:hAnsi="仿宋_GB2312" w:cs="仿宋_GB2312"/>
          <w:szCs w:val="32"/>
        </w:rPr>
      </w:pPr>
      <w:bookmarkStart w:id="37" w:name="_Toc383080243"/>
      <w:r>
        <w:rPr>
          <w:rFonts w:hint="eastAsia" w:ascii="仿宋_GB2312" w:hAnsi="仿宋_GB2312" w:cs="仿宋_GB2312"/>
          <w:szCs w:val="32"/>
        </w:rPr>
        <w:t>方式2：与单位正常缴费归属规则一致；</w:t>
      </w:r>
    </w:p>
    <w:p>
      <w:pPr>
        <w:snapToGrid/>
        <w:ind w:firstLine="640"/>
        <w:contextualSpacing/>
        <w:rPr>
          <w:rFonts w:ascii="仿宋_GB2312" w:hAnsi="仿宋_GB2312" w:cs="仿宋_GB2312"/>
          <w:szCs w:val="32"/>
        </w:rPr>
      </w:pPr>
      <w:r>
        <w:rPr>
          <w:rFonts w:hint="eastAsia" w:ascii="仿宋_GB2312" w:hAnsi="仿宋_GB2312" w:cs="仿宋_GB2312"/>
          <w:szCs w:val="32"/>
        </w:rPr>
        <w:t>方式3：</w:t>
      </w:r>
      <w:r>
        <w:rPr>
          <w:rFonts w:hint="eastAsia" w:ascii="仿宋_GB2312" w:hAnsi="仿宋_GB2312" w:cs="仿宋_GB2312"/>
          <w:szCs w:val="32"/>
          <w:u w:val="single"/>
        </w:rPr>
        <w:t xml:space="preserve"> （其他方式）                            </w:t>
      </w:r>
      <w:r>
        <w:rPr>
          <w:rFonts w:hint="eastAsia" w:ascii="仿宋_GB2312" w:hAnsi="仿宋_GB2312" w:cs="仿宋_GB2312"/>
          <w:szCs w:val="32"/>
        </w:rPr>
        <w:t>。</w:t>
      </w:r>
    </w:p>
    <w:p>
      <w:pPr>
        <w:pStyle w:val="3"/>
        <w:snapToGrid/>
        <w:spacing w:line="360" w:lineRule="auto"/>
        <w:ind w:firstLine="640"/>
        <w:contextualSpacing/>
        <w:jc w:val="center"/>
        <w:rPr>
          <w:rFonts w:ascii="黑体" w:eastAsia="黑体"/>
          <w:b w:val="0"/>
        </w:rPr>
      </w:pPr>
      <w:r>
        <w:rPr>
          <w:rFonts w:hint="eastAsia" w:ascii="黑体" w:eastAsia="黑体"/>
          <w:b w:val="0"/>
        </w:rPr>
        <w:t>第六章</w:t>
      </w:r>
      <w:r>
        <w:rPr>
          <w:rFonts w:ascii="黑体" w:eastAsia="黑体"/>
          <w:b w:val="0"/>
        </w:rPr>
        <w:t xml:space="preserve">  </w:t>
      </w:r>
      <w:r>
        <w:rPr>
          <w:rFonts w:hint="eastAsia" w:ascii="黑体" w:eastAsia="黑体"/>
          <w:b w:val="0"/>
        </w:rPr>
        <w:t>基金管理</w:t>
      </w:r>
      <w:bookmarkEnd w:id="31"/>
      <w:bookmarkEnd w:id="32"/>
      <w:bookmarkEnd w:id="33"/>
      <w:bookmarkEnd w:id="37"/>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第二十三条 </w:t>
      </w:r>
      <w:r>
        <w:rPr>
          <w:rFonts w:hint="eastAsia" w:ascii="仿宋_GB2312" w:hAnsi="仿宋_GB2312" w:cs="仿宋_GB2312"/>
          <w:szCs w:val="32"/>
        </w:rPr>
        <w:t>企业年金基金由单位缴费、职工个人缴费和投资收益组成。</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第二十四条 </w:t>
      </w:r>
      <w:r>
        <w:rPr>
          <w:rFonts w:hint="eastAsia" w:ascii="仿宋_GB2312" w:hAnsi="仿宋_GB2312" w:cs="仿宋_GB2312"/>
          <w:szCs w:val="32"/>
        </w:rPr>
        <w:t>本企业年金基金采取</w:t>
      </w:r>
      <w:r>
        <w:rPr>
          <w:rFonts w:hint="eastAsia" w:ascii="仿宋_GB2312" w:hAnsi="仿宋_GB2312" w:cs="仿宋_GB2312"/>
          <w:szCs w:val="32"/>
          <w:u w:val="single"/>
        </w:rPr>
        <w:t>（□理事会受托、□法人受托）</w:t>
      </w:r>
      <w:r>
        <w:rPr>
          <w:rFonts w:hint="eastAsia" w:ascii="仿宋_GB2312" w:hAnsi="仿宋_GB2312" w:cs="仿宋_GB2312"/>
          <w:szCs w:val="32"/>
        </w:rPr>
        <w:t>管理模式。本细则所归集的企业年金基金由</w:t>
      </w:r>
      <w:r>
        <w:rPr>
          <w:rFonts w:hint="eastAsia" w:ascii="仿宋_GB2312" w:hAnsi="仿宋_GB2312" w:cs="仿宋_GB2312"/>
          <w:szCs w:val="32"/>
          <w:u w:val="single"/>
        </w:rPr>
        <w:t>××单位</w:t>
      </w:r>
      <w:r>
        <w:rPr>
          <w:rStyle w:val="29"/>
          <w:rFonts w:hint="eastAsia" w:ascii="仿宋_GB2312" w:hAnsi="仿宋_GB2312" w:cs="仿宋_GB2312"/>
          <w:szCs w:val="32"/>
          <w:u w:val="single"/>
        </w:rPr>
        <w:footnoteReference w:id="10"/>
      </w:r>
      <w:r>
        <w:rPr>
          <w:rFonts w:hint="eastAsia" w:ascii="仿宋_GB2312" w:hAnsi="仿宋_GB2312" w:cs="仿宋_GB2312"/>
          <w:szCs w:val="32"/>
        </w:rPr>
        <w:t>委托受托人进行受托管理并签署企业年金基金受托管理合同。由企业年金基金受托人委托具备企业年金管理资格的托管人、账户管理人、投资管理人提供统一的相关服务。</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第二十五条 </w:t>
      </w:r>
      <w:r>
        <w:rPr>
          <w:rFonts w:hint="eastAsia" w:ascii="仿宋_GB2312" w:hAnsi="仿宋_GB2312" w:cs="仿宋_GB2312"/>
          <w:szCs w:val="32"/>
        </w:rPr>
        <w:t>企业年金基金的投资收益，根据企业年金基金单位净值，按周或者日足额分别记入个人账户和企业账户。</w:t>
      </w:r>
    </w:p>
    <w:p>
      <w:pPr>
        <w:snapToGrid/>
        <w:ind w:firstLine="643"/>
        <w:contextualSpacing/>
        <w:rPr>
          <w:rFonts w:ascii="仿宋_GB2312" w:hAnsi="仿宋_GB2312" w:cs="仿宋_GB2312"/>
          <w:szCs w:val="32"/>
        </w:rPr>
      </w:pPr>
      <w:r>
        <w:rPr>
          <w:rFonts w:hint="eastAsia" w:ascii="仿宋_GB2312" w:hAnsi="仿宋_GB2312" w:cs="仿宋_GB2312"/>
          <w:b/>
          <w:szCs w:val="32"/>
        </w:rPr>
        <w:t>第二十六条</w:t>
      </w:r>
      <w:r>
        <w:rPr>
          <w:rFonts w:hint="eastAsia" w:ascii="仿宋_GB2312" w:hAnsi="仿宋_GB2312" w:cs="仿宋_GB2312"/>
          <w:szCs w:val="32"/>
        </w:rPr>
        <w:t xml:space="preserve"> 企业年金基金管理运营所需费用，按照国家有关法律法规及企业年金基金管理合同中的相关条款确定，其中正常账户的账户管理费由本单位缴纳，保留账户管理费按本细则第十八条规定执行，退休职工个人账户的账户管理费由</w:t>
      </w:r>
      <w:r>
        <w:rPr>
          <w:rFonts w:hint="eastAsia" w:ascii="仿宋_GB2312" w:hAnsi="仿宋_GB2312" w:cs="仿宋_GB2312"/>
          <w:szCs w:val="32"/>
          <w:u w:val="single"/>
        </w:rPr>
        <w:t>（□个人、□单位）</w:t>
      </w:r>
      <w:r>
        <w:rPr>
          <w:rFonts w:hint="eastAsia" w:ascii="仿宋_GB2312" w:hAnsi="仿宋_GB2312" w:cs="仿宋_GB2312"/>
          <w:szCs w:val="32"/>
        </w:rPr>
        <w:t>负担，其他费用由本单位和个人共同承担，从企业年金基金中扣除。</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第二十七条 </w:t>
      </w:r>
      <w:r>
        <w:rPr>
          <w:rFonts w:hint="eastAsia" w:ascii="仿宋_GB2312" w:hAnsi="仿宋_GB2312" w:cs="仿宋_GB2312"/>
          <w:szCs w:val="32"/>
        </w:rPr>
        <w:t>企业年金基金实行专户管理，与委托人、受托人、账户管理人、投资管理人和托管人的自有资产或其他资产分开管理，分别记账，不得挪作</w:t>
      </w:r>
      <w:r>
        <w:rPr>
          <w:rFonts w:hint="eastAsia" w:ascii="仿宋_GB2312" w:hAnsi="仿宋_GB2312" w:cs="仿宋_GB2312"/>
          <w:szCs w:val="32"/>
          <w:lang w:eastAsia="zh-CN"/>
        </w:rPr>
        <w:t>他</w:t>
      </w:r>
      <w:bookmarkStart w:id="54" w:name="_GoBack"/>
      <w:bookmarkEnd w:id="54"/>
      <w:r>
        <w:rPr>
          <w:rFonts w:hint="eastAsia" w:ascii="仿宋_GB2312" w:hAnsi="仿宋_GB2312" w:cs="仿宋_GB2312"/>
          <w:szCs w:val="32"/>
        </w:rPr>
        <w:t>用。</w:t>
      </w:r>
    </w:p>
    <w:p>
      <w:pPr>
        <w:pStyle w:val="3"/>
        <w:snapToGrid/>
        <w:spacing w:line="360" w:lineRule="auto"/>
        <w:ind w:firstLine="640"/>
        <w:contextualSpacing/>
        <w:jc w:val="center"/>
        <w:rPr>
          <w:rFonts w:ascii="黑体" w:eastAsia="黑体"/>
          <w:b w:val="0"/>
        </w:rPr>
      </w:pPr>
      <w:bookmarkStart w:id="38" w:name="_Toc383080244"/>
      <w:r>
        <w:rPr>
          <w:rFonts w:hint="eastAsia" w:ascii="黑体" w:eastAsia="黑体"/>
          <w:b w:val="0"/>
        </w:rPr>
        <w:t>第七章</w:t>
      </w:r>
      <w:r>
        <w:rPr>
          <w:rFonts w:ascii="黑体" w:eastAsia="黑体"/>
          <w:b w:val="0"/>
        </w:rPr>
        <w:t xml:space="preserve">  </w:t>
      </w:r>
      <w:r>
        <w:rPr>
          <w:rFonts w:hint="eastAsia" w:ascii="黑体" w:eastAsia="黑体"/>
          <w:b w:val="0"/>
        </w:rPr>
        <w:t>待遇计发和支付方式</w:t>
      </w:r>
      <w:bookmarkEnd w:id="34"/>
      <w:bookmarkEnd w:id="35"/>
      <w:bookmarkEnd w:id="36"/>
      <w:bookmarkEnd w:id="38"/>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第二十八条 </w:t>
      </w:r>
      <w:r>
        <w:rPr>
          <w:rFonts w:hint="eastAsia" w:ascii="仿宋_GB2312" w:hAnsi="仿宋_GB2312" w:cs="仿宋_GB2312"/>
          <w:szCs w:val="32"/>
        </w:rPr>
        <w:t>本细则参加职工符合下列条件之一时，可以享受本细则的企业年金待遇：</w:t>
      </w:r>
    </w:p>
    <w:p>
      <w:pPr>
        <w:snapToGrid/>
        <w:ind w:firstLine="640"/>
        <w:contextualSpacing/>
        <w:rPr>
          <w:rFonts w:ascii="仿宋_GB2312" w:hAnsi="仿宋_GB2312" w:cs="仿宋_GB2312"/>
          <w:szCs w:val="32"/>
        </w:rPr>
      </w:pPr>
      <w:r>
        <w:rPr>
          <w:rFonts w:hint="eastAsia" w:ascii="仿宋_GB2312" w:hAnsi="仿宋_GB2312" w:cs="仿宋_GB2312"/>
          <w:szCs w:val="32"/>
        </w:rPr>
        <w:t>（一）达到国家规定的退休年龄；</w:t>
      </w:r>
    </w:p>
    <w:p>
      <w:pPr>
        <w:snapToGrid/>
        <w:ind w:firstLine="640"/>
        <w:contextualSpacing/>
        <w:rPr>
          <w:rFonts w:ascii="仿宋_GB2312" w:hAnsi="仿宋_GB2312" w:cs="仿宋_GB2312"/>
          <w:szCs w:val="32"/>
        </w:rPr>
      </w:pPr>
      <w:r>
        <w:rPr>
          <w:rFonts w:hint="eastAsia" w:ascii="仿宋_GB2312" w:hAnsi="仿宋_GB2312" w:cs="仿宋_GB2312"/>
          <w:szCs w:val="32"/>
        </w:rPr>
        <w:t>（二）未达到国家规定退休年龄时，经劳动能力鉴定委员会鉴定，因病（残）完全丧失劳动能力办理病退；</w:t>
      </w:r>
    </w:p>
    <w:p>
      <w:pPr>
        <w:snapToGrid/>
        <w:ind w:firstLine="640"/>
        <w:contextualSpacing/>
        <w:rPr>
          <w:rFonts w:ascii="仿宋_GB2312" w:hAnsi="仿宋_GB2312" w:cs="仿宋_GB2312"/>
          <w:szCs w:val="32"/>
        </w:rPr>
      </w:pPr>
      <w:r>
        <w:rPr>
          <w:rFonts w:hint="eastAsia" w:ascii="仿宋_GB2312" w:hAnsi="仿宋_GB2312" w:cs="仿宋_GB2312"/>
          <w:szCs w:val="32"/>
        </w:rPr>
        <w:t>（三）退休前身故；</w:t>
      </w:r>
    </w:p>
    <w:p>
      <w:pPr>
        <w:snapToGrid/>
        <w:ind w:firstLine="640"/>
        <w:contextualSpacing/>
        <w:rPr>
          <w:rFonts w:ascii="仿宋_GB2312" w:hAnsi="仿宋_GB2312" w:cs="仿宋_GB2312"/>
          <w:szCs w:val="32"/>
        </w:rPr>
      </w:pPr>
      <w:r>
        <w:rPr>
          <w:rFonts w:hint="eastAsia" w:ascii="仿宋_GB2312" w:hAnsi="仿宋_GB2312" w:cs="仿宋_GB2312"/>
          <w:szCs w:val="32"/>
        </w:rPr>
        <w:t>（四）出国（境）定居。</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第二十九条 </w:t>
      </w:r>
      <w:r>
        <w:rPr>
          <w:rFonts w:hint="eastAsia" w:ascii="仿宋_GB2312" w:hAnsi="仿宋_GB2312" w:cs="仿宋_GB2312"/>
          <w:szCs w:val="32"/>
        </w:rPr>
        <w:t>企业年金的支付方式</w:t>
      </w:r>
    </w:p>
    <w:p>
      <w:pPr>
        <w:snapToGrid/>
        <w:ind w:firstLine="640"/>
        <w:contextualSpacing/>
        <w:rPr>
          <w:rFonts w:ascii="仿宋_GB2312" w:hAnsi="仿宋_GB2312" w:cs="仿宋_GB2312"/>
          <w:szCs w:val="32"/>
        </w:rPr>
      </w:pPr>
      <w:r>
        <w:rPr>
          <w:rFonts w:hint="eastAsia" w:ascii="仿宋_GB2312" w:hAnsi="仿宋_GB2312" w:cs="仿宋_GB2312"/>
          <w:szCs w:val="32"/>
        </w:rPr>
        <w:t>职工达到本细则第二十八条规定企业年金待遇领取条件后，可根据个人账户余额、个人所得税税负等情况选择一次性或分期领取企业年金待遇。</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第三十条 </w:t>
      </w:r>
      <w:r>
        <w:rPr>
          <w:rFonts w:hint="eastAsia" w:ascii="仿宋_GB2312" w:hAnsi="仿宋_GB2312" w:cs="仿宋_GB2312"/>
          <w:szCs w:val="32"/>
        </w:rPr>
        <w:t>受益人的指定和修改</w:t>
      </w:r>
    </w:p>
    <w:p>
      <w:pPr>
        <w:snapToGrid/>
        <w:ind w:firstLine="640"/>
        <w:contextualSpacing/>
        <w:rPr>
          <w:rFonts w:ascii="仿宋_GB2312" w:hAnsi="仿宋_GB2312" w:cs="仿宋_GB2312"/>
          <w:szCs w:val="32"/>
        </w:rPr>
      </w:pPr>
      <w:r>
        <w:rPr>
          <w:rFonts w:hint="eastAsia" w:ascii="仿宋_GB2312" w:hAnsi="仿宋_GB2312" w:cs="仿宋_GB2312"/>
          <w:szCs w:val="32"/>
        </w:rPr>
        <w:t>职工参加本细则时，应在申请表中以书面形式指定受益人作为本人死亡后企业年金个人账户已归属权益的继承人。本细则参加人可以随时提出撤回或修改指定受益人的书面申请。</w:t>
      </w:r>
    </w:p>
    <w:p>
      <w:pPr>
        <w:pStyle w:val="3"/>
        <w:snapToGrid/>
        <w:spacing w:line="360" w:lineRule="auto"/>
        <w:ind w:firstLine="640"/>
        <w:contextualSpacing/>
        <w:jc w:val="center"/>
        <w:rPr>
          <w:rFonts w:ascii="黑体" w:eastAsia="黑体"/>
          <w:b w:val="0"/>
        </w:rPr>
      </w:pPr>
      <w:bookmarkStart w:id="39" w:name="_Toc238376854"/>
      <w:bookmarkStart w:id="40" w:name="_Toc243825272"/>
      <w:bookmarkStart w:id="41" w:name="_Toc318811839"/>
      <w:bookmarkStart w:id="42" w:name="_Toc383080245"/>
      <w:r>
        <w:rPr>
          <w:rFonts w:hint="eastAsia" w:ascii="黑体" w:eastAsia="黑体"/>
          <w:b w:val="0"/>
        </w:rPr>
        <w:t>第八章</w:t>
      </w:r>
      <w:r>
        <w:rPr>
          <w:rFonts w:ascii="黑体" w:eastAsia="黑体"/>
          <w:b w:val="0"/>
        </w:rPr>
        <w:t xml:space="preserve">  </w:t>
      </w:r>
      <w:r>
        <w:rPr>
          <w:rFonts w:hint="eastAsia" w:ascii="黑体" w:eastAsia="黑体"/>
          <w:b w:val="0"/>
        </w:rPr>
        <w:t>细则的调整和终止</w:t>
      </w:r>
      <w:bookmarkEnd w:id="39"/>
      <w:bookmarkEnd w:id="40"/>
      <w:bookmarkEnd w:id="41"/>
      <w:bookmarkEnd w:id="42"/>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第三十一条 </w:t>
      </w:r>
      <w:r>
        <w:rPr>
          <w:rFonts w:hint="eastAsia" w:ascii="仿宋_GB2312" w:hAnsi="仿宋_GB2312" w:cs="仿宋_GB2312"/>
          <w:szCs w:val="32"/>
        </w:rPr>
        <w:t>本单位有权根据国家政策法规和实际情况的变化，经集体协商对本细则进行调整。</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第三十二条 </w:t>
      </w:r>
      <w:r>
        <w:rPr>
          <w:rFonts w:hint="eastAsia" w:ascii="仿宋_GB2312" w:hAnsi="仿宋_GB2312" w:cs="仿宋_GB2312"/>
          <w:szCs w:val="32"/>
        </w:rPr>
        <w:t>出现下列情况之一，可对本细则进行调整：</w:t>
      </w:r>
    </w:p>
    <w:p>
      <w:pPr>
        <w:snapToGrid/>
        <w:ind w:firstLine="640"/>
        <w:contextualSpacing/>
        <w:rPr>
          <w:rFonts w:ascii="仿宋_GB2312" w:hAnsi="仿宋_GB2312" w:cs="仿宋_GB2312"/>
          <w:szCs w:val="32"/>
        </w:rPr>
      </w:pPr>
      <w:r>
        <w:rPr>
          <w:rFonts w:hint="eastAsia" w:ascii="仿宋_GB2312" w:hAnsi="仿宋_GB2312" w:cs="仿宋_GB2312"/>
          <w:szCs w:val="32"/>
        </w:rPr>
        <w:t>（一）国家相关政策法规发生重大变化；</w:t>
      </w:r>
    </w:p>
    <w:p>
      <w:pPr>
        <w:snapToGrid/>
        <w:ind w:firstLine="640"/>
        <w:contextualSpacing/>
        <w:rPr>
          <w:rFonts w:ascii="仿宋_GB2312" w:hAnsi="仿宋_GB2312" w:cs="仿宋_GB2312"/>
          <w:szCs w:val="32"/>
        </w:rPr>
      </w:pPr>
      <w:r>
        <w:rPr>
          <w:rFonts w:hint="eastAsia" w:ascii="仿宋_GB2312" w:hAnsi="仿宋_GB2312" w:cs="仿宋_GB2312"/>
          <w:szCs w:val="32"/>
        </w:rPr>
        <w:t>（二）单位的经营状况出现重大变化；</w:t>
      </w:r>
    </w:p>
    <w:p>
      <w:pPr>
        <w:snapToGrid/>
        <w:ind w:firstLine="640"/>
        <w:contextualSpacing/>
        <w:rPr>
          <w:rFonts w:ascii="仿宋_GB2312" w:hAnsi="仿宋_GB2312" w:cs="仿宋_GB2312"/>
          <w:szCs w:val="32"/>
        </w:rPr>
      </w:pPr>
      <w:r>
        <w:rPr>
          <w:rFonts w:hint="eastAsia" w:ascii="仿宋_GB2312" w:hAnsi="仿宋_GB2312" w:cs="仿宋_GB2312"/>
          <w:szCs w:val="32"/>
        </w:rPr>
        <w:t>（三）其他：</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第三十三条 </w:t>
      </w:r>
      <w:r>
        <w:rPr>
          <w:rFonts w:hint="eastAsia" w:ascii="仿宋_GB2312" w:hAnsi="仿宋_GB2312" w:cs="仿宋_GB2312"/>
          <w:szCs w:val="32"/>
        </w:rPr>
        <w:t>调整本细则的程序</w:t>
      </w:r>
    </w:p>
    <w:p>
      <w:pPr>
        <w:snapToGrid/>
        <w:ind w:firstLine="640"/>
        <w:contextualSpacing/>
        <w:rPr>
          <w:rFonts w:ascii="仿宋_GB2312" w:hAnsi="仿宋_GB2312" w:cs="仿宋_GB2312"/>
          <w:szCs w:val="32"/>
        </w:rPr>
      </w:pPr>
      <w:r>
        <w:rPr>
          <w:rFonts w:hint="eastAsia" w:ascii="仿宋_GB2312" w:hAnsi="仿宋_GB2312" w:cs="仿宋_GB2312"/>
          <w:szCs w:val="32"/>
        </w:rPr>
        <w:t>（一）本单位企业年金经办部门提出对本细则的调整方案并报</w:t>
      </w:r>
      <w:r>
        <w:rPr>
          <w:rFonts w:hint="eastAsia" w:ascii="仿宋_GB2312" w:hAnsi="仿宋_GB2312" w:cs="仿宋_GB2312"/>
          <w:szCs w:val="32"/>
          <w:u w:val="single"/>
        </w:rPr>
        <w:t>××集团公司</w:t>
      </w:r>
      <w:r>
        <w:rPr>
          <w:rFonts w:hint="eastAsia" w:ascii="仿宋_GB2312" w:hAnsi="仿宋_GB2312" w:cs="仿宋_GB2312"/>
          <w:szCs w:val="32"/>
        </w:rPr>
        <w:t>核准；</w:t>
      </w:r>
    </w:p>
    <w:p>
      <w:pPr>
        <w:snapToGrid/>
        <w:ind w:firstLine="640"/>
        <w:contextualSpacing/>
        <w:rPr>
          <w:rFonts w:ascii="仿宋_GB2312" w:hAnsi="仿宋_GB2312" w:cs="仿宋_GB2312"/>
          <w:szCs w:val="32"/>
        </w:rPr>
      </w:pPr>
      <w:r>
        <w:rPr>
          <w:rFonts w:hint="eastAsia" w:ascii="仿宋_GB2312" w:hAnsi="仿宋_GB2312" w:cs="仿宋_GB2312"/>
          <w:szCs w:val="32"/>
        </w:rPr>
        <w:t>（二）调整方案经集体协商讨论通过；</w:t>
      </w:r>
    </w:p>
    <w:p>
      <w:pPr>
        <w:snapToGrid/>
        <w:ind w:firstLine="640"/>
        <w:contextualSpacing/>
        <w:rPr>
          <w:rFonts w:ascii="仿宋_GB2312" w:hAnsi="仿宋_GB2312" w:cs="仿宋_GB2312"/>
          <w:szCs w:val="32"/>
        </w:rPr>
      </w:pPr>
      <w:r>
        <w:rPr>
          <w:rFonts w:hint="eastAsia" w:ascii="仿宋_GB2312" w:hAnsi="仿宋_GB2312" w:cs="仿宋_GB2312"/>
          <w:szCs w:val="32"/>
        </w:rPr>
        <w:t>（三）由</w:t>
      </w:r>
      <w:r>
        <w:rPr>
          <w:rFonts w:hint="eastAsia" w:ascii="仿宋_GB2312" w:hAnsi="仿宋_GB2312" w:cs="仿宋_GB2312"/>
          <w:szCs w:val="32"/>
          <w:u w:val="single"/>
        </w:rPr>
        <w:t>××集团公司</w:t>
      </w:r>
      <w:r>
        <w:rPr>
          <w:rFonts w:hint="eastAsia" w:ascii="仿宋_GB2312" w:hAnsi="仿宋_GB2312" w:cs="仿宋_GB2312"/>
          <w:szCs w:val="32"/>
        </w:rPr>
        <w:t>向人力资源和社会保障部门备案；</w:t>
      </w:r>
    </w:p>
    <w:p>
      <w:pPr>
        <w:snapToGrid/>
        <w:ind w:firstLine="640"/>
        <w:contextualSpacing/>
        <w:rPr>
          <w:rFonts w:ascii="仿宋_GB2312" w:hAnsi="仿宋_GB2312" w:cs="仿宋_GB2312"/>
          <w:szCs w:val="32"/>
        </w:rPr>
      </w:pPr>
      <w:r>
        <w:rPr>
          <w:rFonts w:hint="eastAsia" w:ascii="仿宋_GB2312" w:hAnsi="仿宋_GB2312" w:cs="仿宋_GB2312"/>
          <w:szCs w:val="32"/>
        </w:rPr>
        <w:t>（四）通知细则参加职工及受托人；</w:t>
      </w:r>
    </w:p>
    <w:p>
      <w:pPr>
        <w:snapToGrid/>
        <w:ind w:firstLine="640"/>
        <w:contextualSpacing/>
        <w:rPr>
          <w:rFonts w:ascii="仿宋_GB2312" w:hAnsi="仿宋_GB2312" w:cs="仿宋_GB2312"/>
          <w:szCs w:val="32"/>
        </w:rPr>
      </w:pPr>
      <w:r>
        <w:rPr>
          <w:rFonts w:hint="eastAsia" w:ascii="仿宋_GB2312" w:hAnsi="仿宋_GB2312" w:cs="仿宋_GB2312"/>
          <w:szCs w:val="32"/>
        </w:rPr>
        <w:t>（五）每次调整后，调整前的细则所规定的单位和细则参加职工应履行的义务如果还未履行完毕，单位和细则参加职工应履行完毕该义务后再适用调整后的新细则。</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第三十四条 </w:t>
      </w:r>
      <w:r>
        <w:rPr>
          <w:rFonts w:hint="eastAsia" w:ascii="仿宋_GB2312" w:hAnsi="仿宋_GB2312" w:cs="仿宋_GB2312"/>
          <w:szCs w:val="32"/>
        </w:rPr>
        <w:t>出现下列情况之一时，本细则终止：</w:t>
      </w:r>
    </w:p>
    <w:p>
      <w:pPr>
        <w:snapToGrid/>
        <w:ind w:firstLine="640"/>
        <w:contextualSpacing/>
        <w:rPr>
          <w:rFonts w:ascii="仿宋_GB2312" w:hAnsi="仿宋_GB2312" w:cs="仿宋_GB2312"/>
          <w:szCs w:val="32"/>
        </w:rPr>
      </w:pPr>
      <w:r>
        <w:rPr>
          <w:rFonts w:hint="eastAsia" w:ascii="仿宋_GB2312" w:hAnsi="仿宋_GB2312" w:cs="仿宋_GB2312"/>
          <w:szCs w:val="32"/>
        </w:rPr>
        <w:t>（一）本单位发生依法解散、被依法撤销或者被依法宣告破产等情况；</w:t>
      </w:r>
    </w:p>
    <w:p>
      <w:pPr>
        <w:snapToGrid/>
        <w:ind w:firstLine="640"/>
        <w:contextualSpacing/>
        <w:rPr>
          <w:rFonts w:ascii="仿宋_GB2312" w:hAnsi="仿宋_GB2312" w:cs="仿宋_GB2312"/>
          <w:szCs w:val="32"/>
        </w:rPr>
      </w:pPr>
      <w:r>
        <w:rPr>
          <w:rFonts w:hint="eastAsia" w:ascii="仿宋_GB2312" w:hAnsi="仿宋_GB2312" w:cs="仿宋_GB2312"/>
          <w:szCs w:val="32"/>
        </w:rPr>
        <w:t>（二）国家有关政策法规发生重大变化，导致本方案无法继续实施；</w:t>
      </w:r>
    </w:p>
    <w:p>
      <w:pPr>
        <w:snapToGrid/>
        <w:ind w:firstLine="640"/>
        <w:contextualSpacing/>
        <w:rPr>
          <w:rFonts w:ascii="仿宋_GB2312" w:hAnsi="仿宋_GB2312" w:cs="仿宋_GB2312"/>
          <w:szCs w:val="32"/>
        </w:rPr>
      </w:pPr>
      <w:r>
        <w:rPr>
          <w:rFonts w:hint="eastAsia" w:ascii="仿宋_GB2312" w:hAnsi="仿宋_GB2312" w:cs="仿宋_GB2312"/>
          <w:szCs w:val="32"/>
        </w:rPr>
        <w:t>（三）其他：</w:t>
      </w:r>
      <w:r>
        <w:rPr>
          <w:rFonts w:hint="eastAsia" w:ascii="仿宋_GB2312" w:hAnsi="仿宋_GB2312" w:cs="仿宋_GB2312"/>
          <w:szCs w:val="32"/>
          <w:u w:val="single"/>
        </w:rPr>
        <w:t xml:space="preserve">                              </w:t>
      </w:r>
      <w:r>
        <w:rPr>
          <w:rFonts w:hint="eastAsia" w:ascii="仿宋_GB2312" w:hAnsi="仿宋_GB2312" w:cs="仿宋_GB2312"/>
          <w:szCs w:val="32"/>
        </w:rPr>
        <w:t>。</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第三十五条 </w:t>
      </w:r>
      <w:r>
        <w:rPr>
          <w:rFonts w:hint="eastAsia" w:ascii="仿宋_GB2312" w:hAnsi="仿宋_GB2312" w:cs="仿宋_GB2312"/>
          <w:szCs w:val="32"/>
        </w:rPr>
        <w:t>终止本细则的程序</w:t>
      </w:r>
    </w:p>
    <w:p>
      <w:pPr>
        <w:snapToGrid/>
        <w:ind w:firstLine="640"/>
        <w:contextualSpacing/>
        <w:rPr>
          <w:rFonts w:ascii="仿宋_GB2312" w:hAnsi="仿宋_GB2312" w:cs="仿宋_GB2312"/>
          <w:szCs w:val="32"/>
        </w:rPr>
      </w:pPr>
      <w:r>
        <w:rPr>
          <w:rFonts w:hint="eastAsia" w:ascii="仿宋_GB2312" w:hAnsi="仿宋_GB2312" w:cs="仿宋_GB2312"/>
          <w:szCs w:val="32"/>
        </w:rPr>
        <w:t>（一）本单位向</w:t>
      </w:r>
      <w:r>
        <w:rPr>
          <w:rFonts w:hint="eastAsia" w:ascii="仿宋_GB2312" w:hAnsi="仿宋_GB2312" w:cs="仿宋_GB2312"/>
          <w:szCs w:val="32"/>
          <w:u w:val="single"/>
        </w:rPr>
        <w:t>××集团公司</w:t>
      </w:r>
      <w:r>
        <w:rPr>
          <w:rFonts w:hint="eastAsia" w:ascii="仿宋_GB2312" w:hAnsi="仿宋_GB2312" w:cs="仿宋_GB2312"/>
          <w:szCs w:val="32"/>
        </w:rPr>
        <w:t>提出终止本细则申请，并对企业账户中未归属权益提出处理办法，报</w:t>
      </w:r>
      <w:r>
        <w:rPr>
          <w:rFonts w:hint="eastAsia" w:ascii="仿宋_GB2312" w:hAnsi="仿宋_GB2312" w:cs="仿宋_GB2312"/>
          <w:szCs w:val="32"/>
          <w:u w:val="single"/>
        </w:rPr>
        <w:t>××集团公司</w:t>
      </w:r>
      <w:r>
        <w:rPr>
          <w:rFonts w:hint="eastAsia" w:ascii="仿宋_GB2312" w:hAnsi="仿宋_GB2312" w:cs="仿宋_GB2312"/>
          <w:szCs w:val="32"/>
        </w:rPr>
        <w:t>核准；</w:t>
      </w:r>
    </w:p>
    <w:p>
      <w:pPr>
        <w:snapToGrid/>
        <w:ind w:firstLine="640"/>
        <w:contextualSpacing/>
        <w:rPr>
          <w:rFonts w:ascii="仿宋_GB2312" w:hAnsi="仿宋_GB2312" w:cs="仿宋_GB2312"/>
          <w:szCs w:val="32"/>
        </w:rPr>
      </w:pPr>
      <w:r>
        <w:rPr>
          <w:rFonts w:hint="eastAsia" w:ascii="仿宋_GB2312" w:hAnsi="仿宋_GB2312" w:cs="仿宋_GB2312"/>
          <w:szCs w:val="32"/>
        </w:rPr>
        <w:t>（二）经集体协商讨论通过；</w:t>
      </w:r>
    </w:p>
    <w:p>
      <w:pPr>
        <w:snapToGrid/>
        <w:ind w:firstLine="640"/>
        <w:contextualSpacing/>
        <w:rPr>
          <w:rFonts w:ascii="仿宋_GB2312" w:hAnsi="仿宋_GB2312" w:cs="仿宋_GB2312"/>
          <w:szCs w:val="32"/>
        </w:rPr>
      </w:pPr>
      <w:r>
        <w:rPr>
          <w:rFonts w:hint="eastAsia" w:ascii="仿宋_GB2312" w:hAnsi="仿宋_GB2312" w:cs="仿宋_GB2312"/>
          <w:szCs w:val="32"/>
        </w:rPr>
        <w:t>（三）由</w:t>
      </w:r>
      <w:r>
        <w:rPr>
          <w:rFonts w:hint="eastAsia" w:ascii="仿宋_GB2312" w:hAnsi="仿宋_GB2312" w:cs="仿宋_GB2312"/>
          <w:szCs w:val="32"/>
          <w:u w:val="single"/>
        </w:rPr>
        <w:t>××集团公司</w:t>
      </w:r>
      <w:r>
        <w:rPr>
          <w:rFonts w:hint="eastAsia" w:ascii="仿宋_GB2312" w:hAnsi="仿宋_GB2312" w:cs="仿宋_GB2312"/>
          <w:szCs w:val="32"/>
        </w:rPr>
        <w:t>报人力资源和社会保障部门备案；</w:t>
      </w:r>
    </w:p>
    <w:p>
      <w:pPr>
        <w:snapToGrid/>
        <w:ind w:firstLine="640"/>
        <w:contextualSpacing/>
        <w:rPr>
          <w:rFonts w:ascii="仿宋_GB2312" w:hAnsi="仿宋_GB2312" w:cs="仿宋_GB2312"/>
          <w:szCs w:val="32"/>
        </w:rPr>
      </w:pPr>
      <w:r>
        <w:rPr>
          <w:rFonts w:hint="eastAsia" w:ascii="仿宋_GB2312" w:hAnsi="仿宋_GB2312" w:cs="仿宋_GB2312"/>
          <w:szCs w:val="32"/>
        </w:rPr>
        <w:t>（四）由受托人组织清算组对企业年金基金财产进行清算，对所有个人账户权益进行全部归属，并按照集体协商讨论通过的处理办法进行企业账户未归属权益分配；</w:t>
      </w:r>
    </w:p>
    <w:p>
      <w:pPr>
        <w:snapToGrid/>
        <w:ind w:firstLine="640"/>
        <w:contextualSpacing/>
        <w:rPr>
          <w:rFonts w:ascii="仿宋_GB2312" w:hAnsi="仿宋_GB2312" w:cs="仿宋_GB2312"/>
          <w:szCs w:val="32"/>
        </w:rPr>
      </w:pPr>
      <w:r>
        <w:rPr>
          <w:rFonts w:hint="eastAsia" w:ascii="仿宋_GB2312" w:hAnsi="仿宋_GB2312" w:cs="仿宋_GB2312"/>
          <w:szCs w:val="32"/>
        </w:rPr>
        <w:t>（五）对所有个人账户进行保留或者转移。如果细则参加职工未能提出转移书面申请，作保留处理，账户管理费从个人账户中扣除；</w:t>
      </w:r>
    </w:p>
    <w:p>
      <w:pPr>
        <w:snapToGrid/>
        <w:ind w:firstLine="640"/>
        <w:contextualSpacing/>
        <w:rPr>
          <w:rFonts w:ascii="仿宋_GB2312" w:hAnsi="仿宋_GB2312" w:cs="仿宋_GB2312"/>
          <w:szCs w:val="32"/>
        </w:rPr>
      </w:pPr>
      <w:r>
        <w:rPr>
          <w:rFonts w:hint="eastAsia" w:ascii="仿宋_GB2312" w:hAnsi="仿宋_GB2312" w:cs="仿宋_GB2312"/>
          <w:szCs w:val="32"/>
        </w:rPr>
        <w:t>（六）通知本细则参加职工及受托人。</w:t>
      </w:r>
    </w:p>
    <w:p>
      <w:pPr>
        <w:pStyle w:val="3"/>
        <w:snapToGrid/>
        <w:spacing w:line="360" w:lineRule="auto"/>
        <w:ind w:firstLine="640"/>
        <w:contextualSpacing/>
        <w:jc w:val="center"/>
        <w:rPr>
          <w:rFonts w:ascii="黑体" w:eastAsia="黑体"/>
          <w:b w:val="0"/>
        </w:rPr>
      </w:pPr>
      <w:bookmarkStart w:id="43" w:name="_Toc238376853"/>
      <w:bookmarkStart w:id="44" w:name="_Toc318811838"/>
      <w:bookmarkStart w:id="45" w:name="_Toc383080246"/>
      <w:bookmarkStart w:id="46" w:name="_Toc243825271"/>
      <w:bookmarkStart w:id="47" w:name="_Toc318811840"/>
      <w:bookmarkStart w:id="48" w:name="_Toc238376855"/>
      <w:bookmarkStart w:id="49" w:name="_Toc243825273"/>
      <w:r>
        <w:rPr>
          <w:rFonts w:hint="eastAsia" w:ascii="黑体" w:eastAsia="黑体"/>
          <w:b w:val="0"/>
        </w:rPr>
        <w:t>第九章</w:t>
      </w:r>
      <w:r>
        <w:rPr>
          <w:rFonts w:ascii="黑体" w:eastAsia="黑体"/>
          <w:b w:val="0"/>
        </w:rPr>
        <w:t xml:space="preserve">  </w:t>
      </w:r>
      <w:r>
        <w:rPr>
          <w:rFonts w:hint="eastAsia" w:ascii="黑体" w:eastAsia="黑体"/>
          <w:b w:val="0"/>
        </w:rPr>
        <w:t>组织管理和监督</w:t>
      </w:r>
      <w:bookmarkEnd w:id="43"/>
      <w:bookmarkEnd w:id="44"/>
      <w:bookmarkEnd w:id="45"/>
      <w:bookmarkEnd w:id="46"/>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第三十六条 </w:t>
      </w:r>
      <w:r>
        <w:rPr>
          <w:rFonts w:hint="eastAsia" w:ascii="仿宋_GB2312" w:hAnsi="仿宋_GB2312" w:cs="仿宋_GB2312"/>
          <w:szCs w:val="32"/>
        </w:rPr>
        <w:t>本单位的企业年金基金管理接受人力资源社会保障部门等国家相关部门的监督检查。本单位依照国家相关法律、法规对受托人进行监督。</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第三十七条 </w:t>
      </w:r>
      <w:r>
        <w:rPr>
          <w:rFonts w:hint="eastAsia" w:ascii="仿宋_GB2312" w:hAnsi="仿宋_GB2312" w:cs="仿宋_GB2312"/>
          <w:szCs w:val="32"/>
        </w:rPr>
        <w:t>在接受国家相关部门监督的基础上，由本单位的纪检、工会和审计部门对本企业年金基金的运作管理进行内部监督。</w:t>
      </w:r>
    </w:p>
    <w:p>
      <w:pPr>
        <w:pStyle w:val="3"/>
        <w:snapToGrid/>
        <w:spacing w:line="360" w:lineRule="auto"/>
        <w:ind w:firstLine="640"/>
        <w:contextualSpacing/>
        <w:jc w:val="center"/>
        <w:rPr>
          <w:rFonts w:ascii="黑体" w:eastAsia="黑体"/>
          <w:b w:val="0"/>
        </w:rPr>
      </w:pPr>
      <w:bookmarkStart w:id="50" w:name="_Toc383080247"/>
      <w:r>
        <w:rPr>
          <w:rFonts w:hint="eastAsia" w:ascii="黑体" w:eastAsia="黑体"/>
          <w:b w:val="0"/>
        </w:rPr>
        <w:t>第十章</w:t>
      </w:r>
      <w:r>
        <w:rPr>
          <w:rFonts w:ascii="黑体" w:eastAsia="黑体"/>
          <w:b w:val="0"/>
        </w:rPr>
        <w:t xml:space="preserve">  </w:t>
      </w:r>
      <w:r>
        <w:rPr>
          <w:rFonts w:hint="eastAsia" w:ascii="黑体" w:eastAsia="黑体"/>
          <w:b w:val="0"/>
        </w:rPr>
        <w:t>附则</w:t>
      </w:r>
      <w:bookmarkEnd w:id="47"/>
      <w:bookmarkEnd w:id="48"/>
      <w:bookmarkEnd w:id="49"/>
      <w:bookmarkEnd w:id="50"/>
    </w:p>
    <w:p>
      <w:pPr>
        <w:snapToGrid/>
        <w:ind w:firstLine="643"/>
        <w:contextualSpacing/>
        <w:rPr>
          <w:rFonts w:ascii="仿宋_GB2312" w:hAnsi="仿宋_GB2312" w:cs="仿宋_GB2312"/>
          <w:szCs w:val="32"/>
        </w:rPr>
      </w:pPr>
      <w:bookmarkStart w:id="51" w:name="_Toc317606340"/>
      <w:r>
        <w:rPr>
          <w:rFonts w:hint="eastAsia" w:ascii="仿宋_GB2312" w:hAnsi="仿宋_GB2312" w:cs="仿宋_GB2312"/>
          <w:b/>
          <w:szCs w:val="32"/>
        </w:rPr>
        <w:t>第三十八条</w:t>
      </w:r>
      <w:r>
        <w:rPr>
          <w:rFonts w:hint="eastAsia" w:ascii="仿宋_GB2312" w:hAnsi="仿宋_GB2312" w:cs="仿宋_GB2312"/>
          <w:szCs w:val="32"/>
        </w:rPr>
        <w:t xml:space="preserve">  本细则自</w:t>
      </w:r>
      <w:r>
        <w:rPr>
          <w:rFonts w:hint="eastAsia" w:ascii="仿宋_GB2312" w:hAnsi="仿宋_GB2312" w:cs="仿宋_GB2312"/>
          <w:szCs w:val="32"/>
          <w:u w:val="single"/>
        </w:rPr>
        <w:t>××年×月×日</w:t>
      </w:r>
      <w:r>
        <w:rPr>
          <w:rFonts w:hint="eastAsia" w:ascii="仿宋_GB2312" w:hAnsi="仿宋_GB2312" w:cs="仿宋_GB2312"/>
          <w:szCs w:val="32"/>
        </w:rPr>
        <w:t>起开始实施。</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第三十九条 </w:t>
      </w:r>
      <w:r>
        <w:rPr>
          <w:rFonts w:hint="eastAsia" w:ascii="仿宋_GB2312" w:hAnsi="仿宋_GB2312" w:cs="仿宋_GB2312"/>
          <w:szCs w:val="32"/>
        </w:rPr>
        <w:t>因订立或者履行企业年金方案实施细则发生争议的，根据《集体合同规定》处理。</w:t>
      </w:r>
    </w:p>
    <w:p>
      <w:pPr>
        <w:snapToGrid/>
        <w:ind w:firstLine="643"/>
        <w:contextualSpacing/>
        <w:rPr>
          <w:rFonts w:ascii="仿宋_GB2312" w:hAnsi="仿宋_GB2312" w:cs="仿宋_GB2312"/>
          <w:szCs w:val="32"/>
        </w:rPr>
      </w:pPr>
      <w:r>
        <w:rPr>
          <w:rFonts w:hint="eastAsia" w:ascii="仿宋_GB2312" w:hAnsi="仿宋_GB2312" w:cs="仿宋_GB2312"/>
          <w:b/>
          <w:szCs w:val="32"/>
        </w:rPr>
        <w:t xml:space="preserve">第四十条 </w:t>
      </w:r>
      <w:r>
        <w:rPr>
          <w:rFonts w:hint="eastAsia" w:ascii="仿宋_GB2312" w:hAnsi="仿宋_GB2312" w:cs="仿宋_GB2312"/>
          <w:szCs w:val="32"/>
        </w:rPr>
        <w:t>因履行企业年金基金管理合同发生争议的，可以通过调解和民事诉讼处理。</w:t>
      </w:r>
    </w:p>
    <w:p>
      <w:pPr>
        <w:snapToGrid/>
        <w:ind w:firstLine="643"/>
        <w:contextualSpacing/>
        <w:rPr>
          <w:rFonts w:ascii="仿宋_GB2312" w:hAnsi="仿宋_GB2312" w:cs="仿宋_GB2312"/>
          <w:szCs w:val="32"/>
        </w:rPr>
      </w:pPr>
      <w:r>
        <w:rPr>
          <w:rFonts w:hint="eastAsia" w:ascii="仿宋_GB2312" w:hAnsi="仿宋_GB2312" w:cs="仿宋_GB2312"/>
          <w:b/>
          <w:szCs w:val="32"/>
        </w:rPr>
        <w:t>第四十一条</w:t>
      </w:r>
      <w:r>
        <w:rPr>
          <w:rFonts w:hint="eastAsia" w:ascii="仿宋_GB2312" w:hAnsi="仿宋_GB2312" w:cs="仿宋_GB2312"/>
          <w:szCs w:val="32"/>
        </w:rPr>
        <w:t xml:space="preserve"> 本细则涉及的相关财税问题，按照国家相关规定执行。</w:t>
      </w:r>
    </w:p>
    <w:p>
      <w:pPr>
        <w:snapToGrid/>
        <w:ind w:firstLine="643"/>
        <w:contextualSpacing/>
        <w:rPr>
          <w:rFonts w:ascii="仿宋_GB2312" w:hAnsi="仿宋_GB2312" w:cs="仿宋_GB2312"/>
          <w:b/>
          <w:szCs w:val="32"/>
        </w:rPr>
      </w:pPr>
      <w:r>
        <w:rPr>
          <w:rFonts w:hint="eastAsia" w:ascii="仿宋_GB2312" w:hAnsi="仿宋_GB2312" w:cs="仿宋_GB2312"/>
          <w:b/>
          <w:szCs w:val="32"/>
        </w:rPr>
        <w:t xml:space="preserve">第四十二条 </w:t>
      </w:r>
      <w:r>
        <w:rPr>
          <w:rFonts w:hint="eastAsia" w:ascii="仿宋_GB2312" w:hAnsi="仿宋_GB2312" w:cs="仿宋_GB2312"/>
          <w:szCs w:val="32"/>
        </w:rPr>
        <w:t>本单位拥有对本细则的最终解释权。</w:t>
      </w:r>
    </w:p>
    <w:p>
      <w:pPr>
        <w:snapToGrid/>
        <w:ind w:firstLine="643"/>
        <w:contextualSpacing/>
        <w:rPr>
          <w:rFonts w:ascii="仿宋_GB2312" w:hAnsi="仿宋_GB2312" w:cs="仿宋_GB2312"/>
          <w:b/>
          <w:szCs w:val="32"/>
        </w:rPr>
        <w:sectPr>
          <w:footerReference r:id="rId12" w:type="default"/>
          <w:pgSz w:w="11906" w:h="16838"/>
          <w:pgMar w:top="1440" w:right="1797" w:bottom="1440" w:left="1797" w:header="851" w:footer="992" w:gutter="0"/>
          <w:cols w:space="720" w:num="1"/>
          <w:docGrid w:type="lines" w:linePitch="312" w:charSpace="0"/>
        </w:sectPr>
      </w:pPr>
    </w:p>
    <w:p>
      <w:pPr>
        <w:pStyle w:val="3"/>
        <w:snapToGrid/>
        <w:spacing w:line="360" w:lineRule="auto"/>
        <w:ind w:firstLine="0" w:firstLineChars="0"/>
        <w:contextualSpacing/>
        <w:jc w:val="left"/>
        <w:rPr>
          <w:rFonts w:ascii="黑体" w:eastAsia="黑体"/>
          <w:b w:val="0"/>
        </w:rPr>
      </w:pPr>
      <w:bookmarkStart w:id="52" w:name="_Toc383080248"/>
      <w:r>
        <w:rPr>
          <w:rFonts w:hint="eastAsia" w:ascii="黑体" w:eastAsia="黑体"/>
          <w:b w:val="0"/>
        </w:rPr>
        <w:t xml:space="preserve">附件①：         </w:t>
      </w:r>
    </w:p>
    <w:p>
      <w:pPr>
        <w:pStyle w:val="3"/>
        <w:snapToGrid/>
        <w:spacing w:line="360" w:lineRule="auto"/>
        <w:ind w:firstLine="0" w:firstLineChars="0"/>
        <w:contextualSpacing/>
        <w:jc w:val="center"/>
        <w:rPr>
          <w:rFonts w:ascii="黑体" w:eastAsia="黑体"/>
          <w:b w:val="0"/>
        </w:rPr>
      </w:pPr>
      <w:r>
        <w:rPr>
          <w:rFonts w:hint="eastAsia" w:ascii="黑体" w:eastAsia="黑体"/>
          <w:b w:val="0"/>
        </w:rPr>
        <w:t>职工参加企业年金申请表</w:t>
      </w:r>
      <w:bookmarkEnd w:id="51"/>
      <w:bookmarkEnd w:id="52"/>
    </w:p>
    <w:tbl>
      <w:tblPr>
        <w:tblStyle w:val="26"/>
        <w:tblpPr w:leftFromText="180" w:rightFromText="180" w:vertAnchor="text" w:horzAnchor="margin" w:tblpY="20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2117"/>
        <w:gridCol w:w="54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85" w:type="dxa"/>
            <w:gridSpan w:val="2"/>
            <w:vAlign w:val="center"/>
          </w:tcPr>
          <w:p>
            <w:pPr>
              <w:snapToGrid/>
              <w:ind w:firstLine="0" w:firstLineChars="0"/>
              <w:contextualSpacing/>
              <w:jc w:val="center"/>
              <w:rPr>
                <w:rFonts w:hint="eastAsia"/>
                <w:sz w:val="30"/>
                <w:szCs w:val="30"/>
              </w:rPr>
            </w:pPr>
            <w:r>
              <w:rPr>
                <w:rFonts w:hint="eastAsia"/>
                <w:sz w:val="30"/>
                <w:szCs w:val="30"/>
              </w:rPr>
              <w:t>申请人姓名</w:t>
            </w:r>
          </w:p>
        </w:tc>
        <w:tc>
          <w:tcPr>
            <w:tcW w:w="5443" w:type="dxa"/>
            <w:vAlign w:val="center"/>
          </w:tcPr>
          <w:p>
            <w:pPr>
              <w:snapToGrid/>
              <w:ind w:firstLine="0" w:firstLineChars="0"/>
              <w:contextualSpacing/>
              <w:rPr>
                <w:rFonts w:hint="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gridSpan w:val="2"/>
            <w:vAlign w:val="center"/>
          </w:tcPr>
          <w:p>
            <w:pPr>
              <w:snapToGrid/>
              <w:ind w:firstLine="0" w:firstLineChars="0"/>
              <w:contextualSpacing/>
              <w:jc w:val="center"/>
              <w:rPr>
                <w:rFonts w:hint="eastAsia"/>
                <w:sz w:val="30"/>
                <w:szCs w:val="30"/>
              </w:rPr>
            </w:pPr>
            <w:r>
              <w:rPr>
                <w:rFonts w:hint="eastAsia"/>
                <w:sz w:val="30"/>
                <w:szCs w:val="30"/>
              </w:rPr>
              <w:t>申请人身份证号码</w:t>
            </w:r>
          </w:p>
        </w:tc>
        <w:tc>
          <w:tcPr>
            <w:tcW w:w="5443" w:type="dxa"/>
            <w:vAlign w:val="center"/>
          </w:tcPr>
          <w:p>
            <w:pPr>
              <w:snapToGrid/>
              <w:ind w:firstLine="0" w:firstLineChars="0"/>
              <w:contextualSpacing/>
              <w:rPr>
                <w:rFonts w:hint="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gridSpan w:val="2"/>
            <w:vAlign w:val="center"/>
          </w:tcPr>
          <w:p>
            <w:pPr>
              <w:snapToGrid/>
              <w:ind w:firstLine="0" w:firstLineChars="0"/>
              <w:contextualSpacing/>
              <w:jc w:val="center"/>
              <w:rPr>
                <w:rFonts w:hint="eastAsia"/>
                <w:sz w:val="30"/>
                <w:szCs w:val="30"/>
              </w:rPr>
            </w:pPr>
            <w:r>
              <w:rPr>
                <w:rFonts w:hint="eastAsia"/>
                <w:sz w:val="30"/>
                <w:szCs w:val="30"/>
              </w:rPr>
              <w:t>受益人姓名</w:t>
            </w:r>
          </w:p>
        </w:tc>
        <w:tc>
          <w:tcPr>
            <w:tcW w:w="5443" w:type="dxa"/>
            <w:vAlign w:val="center"/>
          </w:tcPr>
          <w:p>
            <w:pPr>
              <w:snapToGrid/>
              <w:ind w:firstLine="0" w:firstLineChars="0"/>
              <w:contextualSpacing/>
              <w:rPr>
                <w:rFonts w:hint="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gridSpan w:val="2"/>
            <w:vAlign w:val="center"/>
          </w:tcPr>
          <w:p>
            <w:pPr>
              <w:snapToGrid/>
              <w:ind w:firstLine="0" w:firstLineChars="0"/>
              <w:contextualSpacing/>
              <w:jc w:val="center"/>
              <w:rPr>
                <w:rFonts w:hint="eastAsia"/>
                <w:sz w:val="30"/>
                <w:szCs w:val="30"/>
              </w:rPr>
            </w:pPr>
            <w:r>
              <w:rPr>
                <w:rFonts w:hint="eastAsia"/>
                <w:sz w:val="30"/>
                <w:szCs w:val="30"/>
              </w:rPr>
              <w:t>受益人身份证号码</w:t>
            </w:r>
          </w:p>
        </w:tc>
        <w:tc>
          <w:tcPr>
            <w:tcW w:w="5443" w:type="dxa"/>
            <w:vAlign w:val="center"/>
          </w:tcPr>
          <w:p>
            <w:pPr>
              <w:snapToGrid/>
              <w:ind w:firstLine="0" w:firstLineChars="0"/>
              <w:contextualSpacing/>
              <w:rPr>
                <w:rFonts w:hint="eastAsia"/>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3"/>
            <w:vAlign w:val="center"/>
          </w:tcPr>
          <w:p>
            <w:pPr>
              <w:snapToGrid/>
              <w:spacing w:beforeLines="50" w:afterLines="50" w:line="480" w:lineRule="exact"/>
              <w:ind w:firstLine="0" w:firstLineChars="0"/>
              <w:contextualSpacing/>
              <w:jc w:val="center"/>
              <w:rPr>
                <w:rFonts w:hint="eastAsia" w:ascii="仿宋_GB2312"/>
                <w:b/>
                <w:sz w:val="30"/>
                <w:szCs w:val="30"/>
              </w:rPr>
            </w:pPr>
            <w:r>
              <w:rPr>
                <w:rFonts w:hint="eastAsia" w:ascii="仿宋_GB2312"/>
                <w:b/>
                <w:sz w:val="30"/>
                <w:szCs w:val="30"/>
              </w:rPr>
              <w:t>参加企业年金的申请</w:t>
            </w:r>
          </w:p>
          <w:p>
            <w:pPr>
              <w:snapToGrid/>
              <w:spacing w:before="240" w:line="540" w:lineRule="exact"/>
              <w:ind w:firstLine="600"/>
              <w:contextualSpacing/>
              <w:rPr>
                <w:rFonts w:hint="eastAsia"/>
                <w:sz w:val="30"/>
                <w:szCs w:val="30"/>
              </w:rPr>
            </w:pPr>
            <w:r>
              <w:rPr>
                <w:rFonts w:hint="eastAsia"/>
                <w:sz w:val="30"/>
                <w:szCs w:val="30"/>
              </w:rPr>
              <w:t>本人已参加基本养老保险并履行缴费义务；</w:t>
            </w:r>
          </w:p>
          <w:p>
            <w:pPr>
              <w:snapToGrid/>
              <w:spacing w:line="540" w:lineRule="exact"/>
              <w:ind w:firstLine="600"/>
              <w:contextualSpacing/>
              <w:rPr>
                <w:rFonts w:hint="eastAsia"/>
                <w:sz w:val="30"/>
                <w:szCs w:val="30"/>
              </w:rPr>
            </w:pPr>
            <w:r>
              <w:rPr>
                <w:rFonts w:hint="eastAsia"/>
                <w:sz w:val="30"/>
                <w:szCs w:val="30"/>
              </w:rPr>
              <w:t>本人已认真阅读并同意接受《</w:t>
            </w:r>
            <w:r>
              <w:rPr>
                <w:rFonts w:hint="eastAsia"/>
                <w:sz w:val="30"/>
                <w:szCs w:val="30"/>
                <w:u w:val="single"/>
              </w:rPr>
              <w:t>××单位</w:t>
            </w:r>
            <w:r>
              <w:rPr>
                <w:rFonts w:hint="eastAsia"/>
                <w:sz w:val="30"/>
                <w:szCs w:val="30"/>
              </w:rPr>
              <w:t>企业年金方案实施细则》；</w:t>
            </w:r>
          </w:p>
          <w:p>
            <w:pPr>
              <w:snapToGrid/>
              <w:spacing w:line="540" w:lineRule="exact"/>
              <w:ind w:firstLine="600"/>
              <w:contextualSpacing/>
              <w:rPr>
                <w:rFonts w:hint="eastAsia"/>
                <w:sz w:val="30"/>
                <w:szCs w:val="30"/>
              </w:rPr>
            </w:pPr>
            <w:r>
              <w:rPr>
                <w:rFonts w:hint="eastAsia"/>
                <w:sz w:val="30"/>
                <w:szCs w:val="30"/>
              </w:rPr>
              <w:t>本人经慎重考虑，自愿申请（</w:t>
            </w:r>
            <w:r>
              <w:rPr>
                <w:rFonts w:hint="eastAsia" w:ascii="仿宋_GB2312"/>
                <w:sz w:val="30"/>
                <w:szCs w:val="30"/>
              </w:rPr>
              <w:t>□</w:t>
            </w:r>
            <w:r>
              <w:rPr>
                <w:rFonts w:hint="eastAsia"/>
                <w:sz w:val="30"/>
                <w:szCs w:val="30"/>
              </w:rPr>
              <w:t>加入、</w:t>
            </w:r>
            <w:r>
              <w:rPr>
                <w:rFonts w:hint="eastAsia" w:ascii="仿宋_GB2312"/>
                <w:sz w:val="30"/>
                <w:szCs w:val="30"/>
              </w:rPr>
              <w:t>□不</w:t>
            </w:r>
            <w:r>
              <w:rPr>
                <w:rFonts w:hint="eastAsia"/>
                <w:sz w:val="30"/>
                <w:szCs w:val="30"/>
              </w:rPr>
              <w:t>加入）</w:t>
            </w:r>
            <w:r>
              <w:rPr>
                <w:rFonts w:hint="eastAsia"/>
                <w:sz w:val="30"/>
                <w:szCs w:val="30"/>
                <w:u w:val="single"/>
              </w:rPr>
              <w:t>××集团公司</w:t>
            </w:r>
            <w:r>
              <w:rPr>
                <w:rFonts w:hint="eastAsia"/>
                <w:sz w:val="30"/>
                <w:szCs w:val="30"/>
              </w:rPr>
              <w:t>企业年金计划，并愿意承担由此带来的一切投资风险；</w:t>
            </w:r>
          </w:p>
          <w:p>
            <w:pPr>
              <w:snapToGrid/>
              <w:spacing w:line="540" w:lineRule="exact"/>
              <w:ind w:firstLine="600"/>
              <w:contextualSpacing/>
              <w:rPr>
                <w:rFonts w:hint="eastAsia"/>
                <w:sz w:val="30"/>
                <w:szCs w:val="30"/>
                <w:u w:val="single"/>
              </w:rPr>
            </w:pPr>
            <w:r>
              <w:rPr>
                <w:rFonts w:hint="eastAsia"/>
                <w:sz w:val="30"/>
                <w:szCs w:val="30"/>
              </w:rPr>
              <w:t>本人承诺遵守</w:t>
            </w:r>
            <w:r>
              <w:rPr>
                <w:rFonts w:hint="eastAsia"/>
                <w:sz w:val="30"/>
                <w:szCs w:val="30"/>
                <w:u w:val="single"/>
              </w:rPr>
              <w:t>××单位</w:t>
            </w:r>
            <w:r>
              <w:rPr>
                <w:rFonts w:hint="eastAsia"/>
                <w:sz w:val="30"/>
                <w:szCs w:val="30"/>
              </w:rPr>
              <w:t>企业年金方案实施细则的有关规定，并授权</w:t>
            </w:r>
            <w:r>
              <w:rPr>
                <w:rFonts w:hint="eastAsia"/>
                <w:sz w:val="30"/>
                <w:szCs w:val="30"/>
                <w:u w:val="single"/>
              </w:rPr>
              <w:t>××单位：</w:t>
            </w:r>
          </w:p>
          <w:p>
            <w:pPr>
              <w:snapToGrid/>
              <w:spacing w:line="540" w:lineRule="exact"/>
              <w:ind w:firstLine="600"/>
              <w:contextualSpacing/>
              <w:rPr>
                <w:rFonts w:hint="eastAsia" w:ascii="仿宋_GB2312"/>
                <w:sz w:val="30"/>
                <w:szCs w:val="30"/>
              </w:rPr>
            </w:pPr>
            <w:r>
              <w:rPr>
                <w:rFonts w:hint="eastAsia" w:ascii="仿宋_GB2312"/>
                <w:sz w:val="30"/>
                <w:szCs w:val="30"/>
              </w:rPr>
              <w:t>1.从本人工资中代扣代缴职工个人缴费；</w:t>
            </w:r>
          </w:p>
          <w:p>
            <w:pPr>
              <w:snapToGrid/>
              <w:spacing w:line="540" w:lineRule="exact"/>
              <w:ind w:firstLine="600"/>
              <w:contextualSpacing/>
              <w:rPr>
                <w:rFonts w:hint="eastAsia" w:ascii="仿宋_GB2312"/>
                <w:sz w:val="30"/>
                <w:szCs w:val="30"/>
              </w:rPr>
            </w:pPr>
            <w:r>
              <w:rPr>
                <w:rFonts w:hint="eastAsia" w:ascii="仿宋_GB2312"/>
                <w:sz w:val="30"/>
                <w:szCs w:val="30"/>
              </w:rPr>
              <w:t>2.按照国家有关税收政策代扣代缴个人所得税。</w:t>
            </w:r>
          </w:p>
          <w:p>
            <w:pPr>
              <w:snapToGrid/>
              <w:spacing w:line="540" w:lineRule="exact"/>
              <w:ind w:firstLine="600"/>
              <w:contextualSpacing/>
              <w:rPr>
                <w:rFonts w:hint="eastAsia"/>
                <w:sz w:val="30"/>
                <w:szCs w:val="30"/>
              </w:rPr>
            </w:pPr>
            <w:r>
              <w:rPr>
                <w:rFonts w:hint="eastAsia"/>
                <w:sz w:val="30"/>
                <w:szCs w:val="30"/>
              </w:rPr>
              <w:t xml:space="preserve">                            申请人：</w:t>
            </w:r>
          </w:p>
          <w:p>
            <w:pPr>
              <w:snapToGrid/>
              <w:spacing w:line="540" w:lineRule="exact"/>
              <w:ind w:firstLine="5550" w:firstLineChars="1850"/>
              <w:contextualSpacing/>
              <w:rPr>
                <w:rFonts w:hint="eastAsia"/>
                <w:sz w:val="30"/>
                <w:szCs w:val="30"/>
              </w:rPr>
            </w:pPr>
            <w:r>
              <w:rPr>
                <w:rFonts w:hint="eastAsia"/>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8" w:type="dxa"/>
            <w:vAlign w:val="center"/>
          </w:tcPr>
          <w:p>
            <w:pPr>
              <w:snapToGrid/>
              <w:ind w:firstLine="0" w:firstLineChars="0"/>
              <w:contextualSpacing/>
              <w:jc w:val="center"/>
              <w:rPr>
                <w:rFonts w:hint="eastAsia"/>
                <w:sz w:val="30"/>
                <w:szCs w:val="30"/>
              </w:rPr>
            </w:pPr>
            <w:r>
              <w:rPr>
                <w:rFonts w:hint="eastAsia"/>
                <w:sz w:val="30"/>
                <w:szCs w:val="30"/>
              </w:rPr>
              <w:t>单位意见</w:t>
            </w:r>
          </w:p>
        </w:tc>
        <w:tc>
          <w:tcPr>
            <w:tcW w:w="7560" w:type="dxa"/>
            <w:gridSpan w:val="2"/>
            <w:vAlign w:val="center"/>
          </w:tcPr>
          <w:p>
            <w:pPr>
              <w:snapToGrid/>
              <w:spacing w:line="540" w:lineRule="atLeast"/>
              <w:ind w:firstLine="600"/>
              <w:contextualSpacing/>
              <w:rPr>
                <w:rFonts w:hint="eastAsia" w:ascii="仿宋_GB2312"/>
                <w:sz w:val="30"/>
                <w:szCs w:val="30"/>
              </w:rPr>
            </w:pPr>
            <w:r>
              <w:rPr>
                <w:rFonts w:hint="eastAsia" w:ascii="仿宋_GB2312"/>
                <w:sz w:val="30"/>
                <w:szCs w:val="30"/>
              </w:rPr>
              <w:t>经审核，该职工符合参加企业年金的条件，同意其参加企业年金计划。</w:t>
            </w:r>
          </w:p>
          <w:p>
            <w:pPr>
              <w:snapToGrid/>
              <w:spacing w:line="540" w:lineRule="atLeast"/>
              <w:ind w:firstLine="2898" w:firstLineChars="966"/>
              <w:contextualSpacing/>
              <w:rPr>
                <w:rFonts w:hint="eastAsia"/>
                <w:sz w:val="30"/>
                <w:szCs w:val="30"/>
              </w:rPr>
            </w:pPr>
            <w:r>
              <w:rPr>
                <w:rFonts w:hint="eastAsia"/>
                <w:sz w:val="30"/>
                <w:szCs w:val="30"/>
              </w:rPr>
              <w:t>签字（盖章）：</w:t>
            </w:r>
          </w:p>
          <w:p>
            <w:pPr>
              <w:snapToGrid/>
              <w:spacing w:line="540" w:lineRule="atLeast"/>
              <w:ind w:firstLine="4548" w:firstLineChars="1516"/>
              <w:contextualSpacing/>
              <w:rPr>
                <w:rFonts w:hint="eastAsia"/>
                <w:sz w:val="30"/>
                <w:szCs w:val="30"/>
              </w:rPr>
            </w:pPr>
            <w:r>
              <w:rPr>
                <w:rFonts w:hint="eastAsia"/>
                <w:sz w:val="30"/>
                <w:szCs w:val="30"/>
              </w:rPr>
              <w:t>年    月    日</w:t>
            </w:r>
          </w:p>
        </w:tc>
      </w:tr>
    </w:tbl>
    <w:p>
      <w:pPr>
        <w:pStyle w:val="3"/>
        <w:snapToGrid/>
        <w:spacing w:after="0" w:line="360" w:lineRule="auto"/>
        <w:ind w:firstLine="0" w:firstLineChars="0"/>
        <w:contextualSpacing/>
        <w:rPr>
          <w:rFonts w:ascii="黑体" w:eastAsia="黑体"/>
          <w:b w:val="0"/>
        </w:rPr>
      </w:pPr>
      <w:bookmarkStart w:id="53" w:name="_Toc383080249"/>
      <w:r>
        <w:rPr>
          <w:rFonts w:hint="eastAsia" w:ascii="黑体" w:eastAsia="黑体"/>
          <w:b w:val="0"/>
        </w:rPr>
        <w:t xml:space="preserve">附件②：   </w:t>
      </w:r>
    </w:p>
    <w:tbl>
      <w:tblPr>
        <w:tblStyle w:val="26"/>
        <w:tblpPr w:leftFromText="180" w:rightFromText="180" w:vertAnchor="text" w:horzAnchor="margin" w:tblpY="926"/>
        <w:tblW w:w="8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177"/>
        <w:gridCol w:w="6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142" w:type="dxa"/>
            <w:gridSpan w:val="2"/>
            <w:vAlign w:val="center"/>
          </w:tcPr>
          <w:p>
            <w:pPr>
              <w:snapToGrid/>
              <w:ind w:firstLine="0" w:firstLineChars="0"/>
              <w:contextualSpacing/>
              <w:rPr>
                <w:rFonts w:hint="eastAsia" w:ascii="仿宋_GB2312"/>
                <w:sz w:val="30"/>
                <w:szCs w:val="30"/>
              </w:rPr>
            </w:pPr>
            <w:r>
              <w:rPr>
                <w:rFonts w:hint="eastAsia" w:ascii="仿宋_GB2312"/>
                <w:sz w:val="30"/>
                <w:szCs w:val="30"/>
              </w:rPr>
              <w:t>申请人姓名</w:t>
            </w:r>
          </w:p>
        </w:tc>
        <w:tc>
          <w:tcPr>
            <w:tcW w:w="6437" w:type="dxa"/>
            <w:vAlign w:val="center"/>
          </w:tcPr>
          <w:p>
            <w:pPr>
              <w:snapToGrid/>
              <w:ind w:firstLine="0" w:firstLineChars="0"/>
              <w:contextualSpacing/>
              <w:rPr>
                <w:rFonts w:hint="eastAsia" w:ascii="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142" w:type="dxa"/>
            <w:gridSpan w:val="2"/>
            <w:vAlign w:val="center"/>
          </w:tcPr>
          <w:p>
            <w:pPr>
              <w:snapToGrid/>
              <w:ind w:firstLine="0" w:firstLineChars="0"/>
              <w:contextualSpacing/>
              <w:rPr>
                <w:rFonts w:hint="eastAsia" w:ascii="仿宋_GB2312"/>
                <w:sz w:val="30"/>
                <w:szCs w:val="30"/>
              </w:rPr>
            </w:pPr>
            <w:r>
              <w:rPr>
                <w:rFonts w:hint="eastAsia" w:ascii="仿宋_GB2312"/>
                <w:sz w:val="30"/>
                <w:szCs w:val="30"/>
              </w:rPr>
              <w:t>身份证号码</w:t>
            </w:r>
          </w:p>
        </w:tc>
        <w:tc>
          <w:tcPr>
            <w:tcW w:w="6437" w:type="dxa"/>
            <w:vAlign w:val="center"/>
          </w:tcPr>
          <w:p>
            <w:pPr>
              <w:snapToGrid/>
              <w:ind w:firstLine="0" w:firstLineChars="0"/>
              <w:contextualSpacing/>
              <w:rPr>
                <w:rFonts w:hint="eastAsia" w:ascii="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2" w:hRule="atLeast"/>
        </w:trPr>
        <w:tc>
          <w:tcPr>
            <w:tcW w:w="8579" w:type="dxa"/>
            <w:gridSpan w:val="3"/>
            <w:tcBorders>
              <w:bottom w:val="single" w:color="auto" w:sz="4" w:space="0"/>
            </w:tcBorders>
          </w:tcPr>
          <w:p>
            <w:pPr>
              <w:snapToGrid/>
              <w:ind w:firstLine="0" w:firstLineChars="0"/>
              <w:contextualSpacing/>
              <w:jc w:val="center"/>
              <w:rPr>
                <w:rFonts w:ascii="仿宋_GB2312" w:hAnsi="黑体" w:cs="黑体"/>
                <w:b/>
                <w:bCs/>
                <w:sz w:val="30"/>
                <w:szCs w:val="30"/>
              </w:rPr>
            </w:pPr>
            <w:r>
              <w:rPr>
                <w:rFonts w:hint="eastAsia" w:ascii="仿宋_GB2312" w:hAnsi="黑体" w:cs="黑体"/>
                <w:b/>
                <w:bCs/>
                <w:sz w:val="30"/>
                <w:szCs w:val="30"/>
              </w:rPr>
              <w:t>暂停企业年金缴费的申请</w:t>
            </w:r>
          </w:p>
          <w:p>
            <w:pPr>
              <w:snapToGrid/>
              <w:spacing w:line="480" w:lineRule="exact"/>
              <w:ind w:firstLine="600"/>
              <w:contextualSpacing/>
              <w:jc w:val="left"/>
              <w:rPr>
                <w:rFonts w:hint="eastAsia" w:ascii="仿宋_GB2312"/>
                <w:sz w:val="30"/>
                <w:szCs w:val="30"/>
              </w:rPr>
            </w:pPr>
            <w:r>
              <w:rPr>
                <w:rFonts w:hint="eastAsia" w:ascii="仿宋_GB2312"/>
                <w:sz w:val="30"/>
                <w:szCs w:val="30"/>
              </w:rPr>
              <w:t>本人经慎重考虑，自愿申请暂停企业年金缴费，并愿意承担由此带来的损失。暂停缴费期间为：</w:t>
            </w:r>
          </w:p>
          <w:p>
            <w:pPr>
              <w:snapToGrid/>
              <w:spacing w:line="480" w:lineRule="exact"/>
              <w:ind w:firstLine="600"/>
              <w:contextualSpacing/>
              <w:jc w:val="left"/>
              <w:rPr>
                <w:rFonts w:hint="eastAsia" w:ascii="仿宋_GB2312"/>
                <w:sz w:val="30"/>
                <w:szCs w:val="30"/>
              </w:rPr>
            </w:pPr>
            <w:r>
              <w:rPr>
                <w:rFonts w:hint="eastAsia" w:ascii="仿宋_GB2312"/>
                <w:sz w:val="30"/>
                <w:szCs w:val="30"/>
              </w:rPr>
              <w:t xml:space="preserve">□  </w:t>
            </w:r>
            <w:r>
              <w:rPr>
                <w:rFonts w:hint="eastAsia"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hint="eastAsia" w:ascii="仿宋_GB2312"/>
                <w:sz w:val="30"/>
                <w:szCs w:val="30"/>
              </w:rPr>
              <w:t>日至</w:t>
            </w:r>
            <w:r>
              <w:rPr>
                <w:rFonts w:hint="eastAsia"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hint="eastAsia" w:ascii="仿宋_GB2312"/>
                <w:sz w:val="30"/>
                <w:szCs w:val="30"/>
              </w:rPr>
              <w:t>日；</w:t>
            </w:r>
          </w:p>
          <w:p>
            <w:pPr>
              <w:snapToGrid/>
              <w:spacing w:line="480" w:lineRule="exact"/>
              <w:ind w:firstLine="600"/>
              <w:contextualSpacing/>
              <w:jc w:val="left"/>
              <w:rPr>
                <w:rFonts w:hint="eastAsia" w:ascii="仿宋_GB2312"/>
                <w:sz w:val="30"/>
                <w:szCs w:val="30"/>
              </w:rPr>
            </w:pPr>
            <w:r>
              <w:rPr>
                <w:rFonts w:hint="eastAsia" w:ascii="仿宋_GB2312"/>
                <w:sz w:val="30"/>
                <w:szCs w:val="30"/>
              </w:rPr>
              <w:t>□  至本人申请恢复缴费为止；</w:t>
            </w:r>
          </w:p>
          <w:p>
            <w:pPr>
              <w:snapToGrid/>
              <w:spacing w:line="480" w:lineRule="exact"/>
              <w:ind w:firstLine="600"/>
              <w:contextualSpacing/>
              <w:jc w:val="left"/>
              <w:rPr>
                <w:rFonts w:hint="eastAsia" w:ascii="仿宋_GB2312"/>
                <w:sz w:val="30"/>
                <w:szCs w:val="30"/>
              </w:rPr>
            </w:pPr>
            <w:r>
              <w:rPr>
                <w:rFonts w:hint="eastAsia" w:ascii="仿宋_GB2312"/>
                <w:sz w:val="30"/>
                <w:szCs w:val="30"/>
              </w:rPr>
              <w:t>□  至退出本企业年金计划为止。</w:t>
            </w:r>
          </w:p>
          <w:p>
            <w:pPr>
              <w:snapToGrid/>
              <w:spacing w:line="400" w:lineRule="exact"/>
              <w:ind w:firstLine="0" w:firstLineChars="0"/>
              <w:contextualSpacing/>
              <w:rPr>
                <w:rFonts w:hint="eastAsia" w:ascii="仿宋_GB2312"/>
                <w:sz w:val="30"/>
                <w:szCs w:val="30"/>
              </w:rPr>
            </w:pPr>
          </w:p>
          <w:p>
            <w:pPr>
              <w:snapToGrid/>
              <w:spacing w:line="400" w:lineRule="exact"/>
              <w:ind w:right="600" w:firstLine="4800" w:firstLineChars="1600"/>
              <w:contextualSpacing/>
              <w:rPr>
                <w:rFonts w:hint="eastAsia" w:ascii="仿宋_GB2312"/>
                <w:sz w:val="30"/>
                <w:szCs w:val="30"/>
              </w:rPr>
            </w:pPr>
            <w:r>
              <w:rPr>
                <w:rFonts w:hint="eastAsia" w:ascii="仿宋_GB2312"/>
                <w:sz w:val="30"/>
                <w:szCs w:val="30"/>
              </w:rPr>
              <w:t>申请人：</w:t>
            </w:r>
          </w:p>
          <w:p>
            <w:pPr>
              <w:snapToGrid/>
              <w:spacing w:line="500" w:lineRule="exact"/>
              <w:ind w:firstLine="0" w:firstLineChars="0"/>
              <w:contextualSpacing/>
              <w:jc w:val="left"/>
              <w:rPr>
                <w:rFonts w:hint="eastAsia" w:ascii="仿宋_GB2312"/>
                <w:sz w:val="30"/>
                <w:szCs w:val="30"/>
              </w:rPr>
            </w:pPr>
            <w:r>
              <w:rPr>
                <w:rFonts w:hint="eastAsia" w:ascii="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8579" w:type="dxa"/>
            <w:gridSpan w:val="3"/>
            <w:tcBorders>
              <w:top w:val="single" w:color="auto" w:sz="4" w:space="0"/>
            </w:tcBorders>
            <w:vAlign w:val="center"/>
          </w:tcPr>
          <w:p>
            <w:pPr>
              <w:snapToGrid/>
              <w:spacing w:line="520" w:lineRule="exact"/>
              <w:ind w:firstLine="0" w:firstLineChars="0"/>
              <w:contextualSpacing/>
              <w:jc w:val="center"/>
              <w:rPr>
                <w:rFonts w:ascii="仿宋_GB2312" w:hAnsi="黑体" w:cs="黑体"/>
                <w:b/>
                <w:bCs/>
                <w:sz w:val="30"/>
                <w:szCs w:val="30"/>
              </w:rPr>
            </w:pPr>
            <w:r>
              <w:rPr>
                <w:rFonts w:hint="eastAsia" w:ascii="仿宋_GB2312" w:hAnsi="黑体" w:cs="黑体"/>
                <w:b/>
                <w:bCs/>
                <w:sz w:val="30"/>
                <w:szCs w:val="30"/>
              </w:rPr>
              <w:t>恢复企业年金缴费的申请</w:t>
            </w:r>
          </w:p>
          <w:p>
            <w:pPr>
              <w:snapToGrid/>
              <w:spacing w:line="520" w:lineRule="exact"/>
              <w:ind w:firstLine="600"/>
              <w:contextualSpacing/>
              <w:jc w:val="left"/>
              <w:rPr>
                <w:rFonts w:hint="eastAsia" w:ascii="仿宋_GB2312"/>
                <w:sz w:val="30"/>
                <w:szCs w:val="30"/>
              </w:rPr>
            </w:pPr>
            <w:r>
              <w:rPr>
                <w:rFonts w:hint="eastAsia" w:ascii="仿宋_GB2312"/>
                <w:sz w:val="30"/>
                <w:szCs w:val="30"/>
              </w:rPr>
              <w:t>本人申请自</w:t>
            </w:r>
            <w:r>
              <w:rPr>
                <w:rFonts w:hint="eastAsia"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hint="eastAsia" w:ascii="仿宋_GB2312"/>
                <w:sz w:val="30"/>
                <w:szCs w:val="30"/>
              </w:rPr>
              <w:t>日起恢复企业年金缴费。</w:t>
            </w:r>
          </w:p>
          <w:p>
            <w:pPr>
              <w:snapToGrid/>
              <w:spacing w:line="400" w:lineRule="exact"/>
              <w:ind w:firstLine="0" w:firstLineChars="0"/>
              <w:contextualSpacing/>
              <w:rPr>
                <w:rFonts w:hint="eastAsia" w:ascii="仿宋_GB2312"/>
                <w:sz w:val="30"/>
                <w:szCs w:val="30"/>
              </w:rPr>
            </w:pPr>
          </w:p>
          <w:p>
            <w:pPr>
              <w:snapToGrid/>
              <w:spacing w:line="400" w:lineRule="exact"/>
              <w:ind w:firstLine="4800" w:firstLineChars="1600"/>
              <w:contextualSpacing/>
              <w:rPr>
                <w:rFonts w:hint="eastAsia" w:ascii="仿宋_GB2312"/>
                <w:sz w:val="30"/>
                <w:szCs w:val="30"/>
              </w:rPr>
            </w:pPr>
            <w:r>
              <w:rPr>
                <w:rFonts w:hint="eastAsia" w:ascii="仿宋_GB2312"/>
                <w:sz w:val="30"/>
                <w:szCs w:val="30"/>
              </w:rPr>
              <w:t>申请人：</w:t>
            </w:r>
          </w:p>
          <w:p>
            <w:pPr>
              <w:snapToGrid/>
              <w:spacing w:line="500" w:lineRule="exact"/>
              <w:ind w:firstLine="0" w:firstLineChars="0"/>
              <w:contextualSpacing/>
              <w:rPr>
                <w:rFonts w:hint="eastAsia" w:ascii="仿宋_GB2312"/>
                <w:sz w:val="30"/>
                <w:szCs w:val="30"/>
              </w:rPr>
            </w:pPr>
            <w:r>
              <w:rPr>
                <w:rFonts w:hint="eastAsia" w:ascii="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965" w:type="dxa"/>
            <w:vMerge w:val="restart"/>
            <w:vAlign w:val="center"/>
          </w:tcPr>
          <w:p>
            <w:pPr>
              <w:snapToGrid/>
              <w:ind w:firstLine="0" w:firstLineChars="0"/>
              <w:contextualSpacing/>
              <w:jc w:val="center"/>
              <w:rPr>
                <w:rFonts w:hint="eastAsia" w:ascii="仿宋_GB2312"/>
                <w:sz w:val="30"/>
                <w:szCs w:val="30"/>
              </w:rPr>
            </w:pPr>
            <w:r>
              <w:rPr>
                <w:rFonts w:hint="eastAsia" w:ascii="仿宋_GB2312"/>
                <w:sz w:val="30"/>
                <w:szCs w:val="30"/>
              </w:rPr>
              <w:t>单位意见</w:t>
            </w:r>
          </w:p>
        </w:tc>
        <w:tc>
          <w:tcPr>
            <w:tcW w:w="7614" w:type="dxa"/>
            <w:gridSpan w:val="2"/>
            <w:tcBorders>
              <w:bottom w:val="single" w:color="auto" w:sz="4" w:space="0"/>
            </w:tcBorders>
            <w:vAlign w:val="center"/>
          </w:tcPr>
          <w:p>
            <w:pPr>
              <w:snapToGrid/>
              <w:spacing w:line="520" w:lineRule="exact"/>
              <w:ind w:firstLine="0" w:firstLineChars="0"/>
              <w:contextualSpacing/>
              <w:rPr>
                <w:rFonts w:hint="eastAsia" w:ascii="仿宋_GB2312"/>
                <w:sz w:val="30"/>
                <w:szCs w:val="30"/>
              </w:rPr>
            </w:pPr>
            <w:r>
              <w:rPr>
                <w:rFonts w:hint="eastAsia" w:ascii="仿宋_GB2312"/>
                <w:sz w:val="30"/>
                <w:szCs w:val="30"/>
              </w:rPr>
              <w:t>经审核，同意该职工暂停企业年金缴费。</w:t>
            </w:r>
          </w:p>
          <w:p>
            <w:pPr>
              <w:snapToGrid/>
              <w:spacing w:line="80" w:lineRule="exact"/>
              <w:ind w:firstLine="0" w:firstLineChars="0"/>
              <w:contextualSpacing/>
              <w:rPr>
                <w:rFonts w:hint="eastAsia" w:ascii="仿宋_GB2312"/>
                <w:sz w:val="30"/>
                <w:szCs w:val="30"/>
              </w:rPr>
            </w:pPr>
          </w:p>
          <w:p>
            <w:pPr>
              <w:snapToGrid/>
              <w:spacing w:line="520" w:lineRule="exact"/>
              <w:ind w:firstLine="0" w:firstLineChars="0"/>
              <w:contextualSpacing/>
              <w:rPr>
                <w:rFonts w:hint="eastAsia" w:ascii="仿宋_GB2312"/>
                <w:sz w:val="30"/>
                <w:szCs w:val="30"/>
              </w:rPr>
            </w:pPr>
            <w:r>
              <w:rPr>
                <w:rFonts w:hint="eastAsia" w:ascii="仿宋_GB2312"/>
                <w:sz w:val="30"/>
                <w:szCs w:val="30"/>
              </w:rPr>
              <w:t xml:space="preserve">                     签字（盖章）：</w:t>
            </w:r>
          </w:p>
          <w:p>
            <w:pPr>
              <w:snapToGrid/>
              <w:spacing w:line="520" w:lineRule="exact"/>
              <w:ind w:firstLine="0" w:firstLineChars="0"/>
              <w:contextualSpacing/>
              <w:rPr>
                <w:rFonts w:hint="eastAsia" w:ascii="仿宋_GB2312"/>
                <w:sz w:val="30"/>
                <w:szCs w:val="30"/>
              </w:rPr>
            </w:pPr>
            <w:r>
              <w:rPr>
                <w:rFonts w:hint="eastAsia" w:ascii="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965" w:type="dxa"/>
            <w:vMerge w:val="continue"/>
            <w:vAlign w:val="center"/>
          </w:tcPr>
          <w:p>
            <w:pPr>
              <w:snapToGrid/>
              <w:ind w:firstLine="0" w:firstLineChars="0"/>
              <w:contextualSpacing/>
              <w:jc w:val="center"/>
              <w:rPr>
                <w:rFonts w:hint="eastAsia" w:ascii="仿宋_GB2312"/>
                <w:sz w:val="30"/>
                <w:szCs w:val="30"/>
              </w:rPr>
            </w:pPr>
          </w:p>
        </w:tc>
        <w:tc>
          <w:tcPr>
            <w:tcW w:w="7614" w:type="dxa"/>
            <w:gridSpan w:val="2"/>
            <w:tcBorders>
              <w:top w:val="single" w:color="auto" w:sz="4" w:space="0"/>
              <w:bottom w:val="single" w:color="auto" w:sz="4" w:space="0"/>
            </w:tcBorders>
            <w:vAlign w:val="center"/>
          </w:tcPr>
          <w:p>
            <w:pPr>
              <w:snapToGrid/>
              <w:spacing w:line="520" w:lineRule="exact"/>
              <w:ind w:firstLine="0" w:firstLineChars="0"/>
              <w:contextualSpacing/>
              <w:rPr>
                <w:rFonts w:hint="eastAsia" w:ascii="仿宋_GB2312"/>
                <w:sz w:val="30"/>
                <w:szCs w:val="30"/>
              </w:rPr>
            </w:pPr>
            <w:r>
              <w:rPr>
                <w:rFonts w:hint="eastAsia" w:ascii="仿宋_GB2312"/>
                <w:sz w:val="30"/>
                <w:szCs w:val="30"/>
              </w:rPr>
              <w:t>经审核，同意该职工恢复企业年金缴费。</w:t>
            </w:r>
          </w:p>
          <w:p>
            <w:pPr>
              <w:snapToGrid/>
              <w:spacing w:line="500" w:lineRule="exact"/>
              <w:ind w:firstLine="0" w:firstLineChars="0"/>
              <w:contextualSpacing/>
              <w:rPr>
                <w:rFonts w:hint="eastAsia" w:ascii="仿宋_GB2312"/>
                <w:sz w:val="30"/>
                <w:szCs w:val="30"/>
              </w:rPr>
            </w:pPr>
          </w:p>
          <w:p>
            <w:pPr>
              <w:snapToGrid/>
              <w:spacing w:line="500" w:lineRule="exact"/>
              <w:ind w:firstLine="0" w:firstLineChars="0"/>
              <w:contextualSpacing/>
              <w:rPr>
                <w:rFonts w:hint="eastAsia" w:ascii="仿宋_GB2312"/>
                <w:sz w:val="30"/>
                <w:szCs w:val="30"/>
              </w:rPr>
            </w:pPr>
            <w:r>
              <w:rPr>
                <w:rFonts w:hint="eastAsia" w:ascii="仿宋_GB2312"/>
                <w:sz w:val="30"/>
                <w:szCs w:val="30"/>
              </w:rPr>
              <w:t xml:space="preserve">                     签字（盖章）：</w:t>
            </w:r>
          </w:p>
          <w:p>
            <w:pPr>
              <w:snapToGrid/>
              <w:spacing w:line="500" w:lineRule="exact"/>
              <w:ind w:firstLine="0" w:firstLineChars="0"/>
              <w:contextualSpacing/>
              <w:rPr>
                <w:rFonts w:hint="eastAsia" w:ascii="仿宋_GB2312"/>
                <w:sz w:val="30"/>
                <w:szCs w:val="30"/>
              </w:rPr>
            </w:pPr>
            <w:r>
              <w:rPr>
                <w:rFonts w:hint="eastAsia" w:ascii="仿宋_GB2312"/>
                <w:sz w:val="30"/>
                <w:szCs w:val="30"/>
              </w:rPr>
              <w:t xml:space="preserve">                               年    月    日</w:t>
            </w:r>
          </w:p>
        </w:tc>
      </w:tr>
    </w:tbl>
    <w:p>
      <w:pPr>
        <w:pStyle w:val="3"/>
        <w:snapToGrid/>
        <w:spacing w:after="0" w:line="360" w:lineRule="auto"/>
        <w:ind w:firstLine="0" w:firstLineChars="0"/>
        <w:contextualSpacing/>
        <w:jc w:val="center"/>
        <w:rPr>
          <w:rFonts w:ascii="黑体" w:hAnsi="黑体" w:eastAsia="黑体" w:cs="黑体"/>
          <w:b w:val="0"/>
        </w:rPr>
      </w:pPr>
      <w:r>
        <w:rPr>
          <w:rFonts w:hint="eastAsia" w:ascii="黑体" w:hAnsi="黑体" w:eastAsia="黑体" w:cs="黑体"/>
          <w:b w:val="0"/>
        </w:rPr>
        <w:t>职工暂停（恢复）企业年金缴费申请表</w:t>
      </w:r>
      <w:bookmarkEnd w:id="53"/>
    </w:p>
    <w:p>
      <w:pPr>
        <w:snapToGrid/>
        <w:ind w:firstLine="0" w:firstLineChars="0"/>
        <w:contextualSpacing/>
        <w:rPr>
          <w:rFonts w:hint="eastAsia"/>
          <w:sz w:val="10"/>
          <w:szCs w:val="10"/>
        </w:rPr>
      </w:pPr>
    </w:p>
    <w:sectPr>
      <w:pgSz w:w="11906" w:h="16838"/>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r>
      <w:pict>
        <v:rect id="文本框1" o:spid="_x0000_s2049"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ind w:firstLine="360"/>
                  <w:rPr>
                    <w:rFonts w:hint="eastAsia" w:ascii="仿宋_GB2312"/>
                    <w:sz w:val="18"/>
                  </w:rPr>
                </w:pPr>
                <w:r>
                  <w:rPr>
                    <w:rFonts w:hint="eastAsia" w:ascii="仿宋_GB2312"/>
                    <w:sz w:val="18"/>
                  </w:rPr>
                  <w:fldChar w:fldCharType="begin"/>
                </w:r>
                <w:r>
                  <w:rPr>
                    <w:rFonts w:hint="eastAsia" w:ascii="仿宋_GB2312"/>
                    <w:sz w:val="18"/>
                  </w:rPr>
                  <w:instrText xml:space="preserve"> PAGE  \* MERGEFORMAT </w:instrText>
                </w:r>
                <w:r>
                  <w:rPr>
                    <w:rFonts w:hint="eastAsia" w:ascii="仿宋_GB2312"/>
                    <w:sz w:val="18"/>
                  </w:rPr>
                  <w:fldChar w:fldCharType="separate"/>
                </w:r>
                <w:r>
                  <w:rPr>
                    <w:rFonts w:hint="eastAsia" w:ascii="仿宋_GB2312"/>
                    <w:sz w:val="18"/>
                  </w:rPr>
                  <w:t>1</w:t>
                </w:r>
                <w:r>
                  <w:rPr>
                    <w:rFonts w:hint="eastAsia" w:ascii="仿宋_GB2312"/>
                    <w:sz w:val="18"/>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after="120"/>
      <w:ind w:firstLine="360"/>
    </w:pPr>
    <w:r>
      <w:pict>
        <v:rect id="文本框2" o:spid="_x0000_s2050"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ind w:firstLine="360"/>
                  <w:rPr>
                    <w:rFonts w:hint="eastAsia" w:ascii="仿宋_GB2312"/>
                    <w:sz w:val="18"/>
                  </w:rPr>
                </w:pPr>
                <w:r>
                  <w:rPr>
                    <w:rFonts w:hint="eastAsia" w:ascii="仿宋_GB2312"/>
                    <w:sz w:val="18"/>
                  </w:rPr>
                  <w:fldChar w:fldCharType="begin"/>
                </w:r>
                <w:r>
                  <w:rPr>
                    <w:rFonts w:hint="eastAsia" w:ascii="仿宋_GB2312"/>
                    <w:sz w:val="18"/>
                  </w:rPr>
                  <w:instrText xml:space="preserve"> PAGE  \* MERGEFORMAT </w:instrText>
                </w:r>
                <w:r>
                  <w:rPr>
                    <w:rFonts w:hint="eastAsia" w:ascii="仿宋_GB2312"/>
                    <w:sz w:val="18"/>
                  </w:rPr>
                  <w:fldChar w:fldCharType="separate"/>
                </w:r>
                <w:r>
                  <w:rPr>
                    <w:rFonts w:hint="eastAsia" w:ascii="仿宋_GB2312"/>
                    <w:sz w:val="18"/>
                  </w:rPr>
                  <w:t>2</w:t>
                </w:r>
                <w:r>
                  <w:rPr>
                    <w:rFonts w:hint="eastAsia" w:ascii="仿宋_GB2312"/>
                    <w:sz w:val="1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line="360" w:lineRule="auto"/>
        <w:ind w:firstLine="640"/>
      </w:pPr>
      <w:r>
        <w:separator/>
      </w:r>
    </w:p>
  </w:footnote>
  <w:footnote w:type="continuationSeparator" w:id="23">
    <w:p>
      <w:pPr>
        <w:spacing w:line="360" w:lineRule="auto"/>
        <w:ind w:firstLine="640"/>
      </w:pPr>
      <w:r>
        <w:continuationSeparator/>
      </w:r>
    </w:p>
  </w:footnote>
  <w:footnote w:id="0">
    <w:p>
      <w:pPr>
        <w:pStyle w:val="22"/>
        <w:spacing w:line="240" w:lineRule="auto"/>
        <w:ind w:firstLine="360"/>
        <w:rPr>
          <w:rFonts w:hint="eastAsia"/>
        </w:rPr>
      </w:pPr>
      <w:r>
        <w:rPr>
          <w:rStyle w:val="29"/>
        </w:rPr>
        <w:footnoteRef/>
      </w:r>
      <w:r>
        <w:t xml:space="preserve"> </w:t>
      </w:r>
      <w:r>
        <w:rPr>
          <w:rFonts w:hint="eastAsia"/>
        </w:rPr>
        <w:t>指代表职工与受托人签订受托管理合同的单位。</w:t>
      </w:r>
    </w:p>
  </w:footnote>
  <w:footnote w:id="1">
    <w:p>
      <w:pPr>
        <w:pStyle w:val="22"/>
        <w:spacing w:line="240" w:lineRule="auto"/>
        <w:ind w:firstLine="360"/>
        <w:rPr>
          <w:rFonts w:hint="eastAsia"/>
        </w:rPr>
      </w:pPr>
      <w:r>
        <w:rPr>
          <w:rStyle w:val="29"/>
        </w:rPr>
        <w:footnoteRef/>
      </w:r>
      <w:r>
        <w:t xml:space="preserve"> </w:t>
      </w:r>
      <w:r>
        <w:rPr>
          <w:rFonts w:hint="eastAsia"/>
        </w:rPr>
        <w:t>集团公司所属集团公司的企业年金方案实施细则可适用于所有或部分下属单位，非集团公司可删除本条。</w:t>
      </w:r>
    </w:p>
  </w:footnote>
  <w:footnote w:id="2">
    <w:p>
      <w:pPr>
        <w:pStyle w:val="22"/>
        <w:spacing w:line="240" w:lineRule="auto"/>
        <w:ind w:firstLine="360"/>
        <w:rPr>
          <w:rFonts w:hint="eastAsia"/>
        </w:rPr>
      </w:pPr>
      <w:r>
        <w:rPr>
          <w:rStyle w:val="29"/>
        </w:rPr>
        <w:footnoteRef/>
      </w:r>
      <w:r>
        <w:rPr>
          <w:rFonts w:hint="eastAsia"/>
        </w:rPr>
        <w:t xml:space="preserve"> 参加企业年金职工人数原则上应占本单位职工总数的大多数，集团公司下属单位可分批参加集团企业年金计划。参加计划职工比例偏低的应书面说明原因。</w:t>
      </w:r>
    </w:p>
  </w:footnote>
  <w:footnote w:id="3">
    <w:p>
      <w:pPr>
        <w:pStyle w:val="22"/>
        <w:spacing w:line="240" w:lineRule="auto"/>
        <w:ind w:firstLine="360"/>
        <w:rPr>
          <w:rFonts w:hint="eastAsia"/>
        </w:rPr>
      </w:pPr>
      <w:r>
        <w:rPr>
          <w:rStyle w:val="29"/>
        </w:rPr>
        <w:footnoteRef/>
      </w:r>
      <w:r>
        <w:t xml:space="preserve"> </w:t>
      </w:r>
      <w:r>
        <w:rPr>
          <w:rFonts w:hint="eastAsia"/>
        </w:rPr>
        <w:t>指代表职工与受托人签订受托管理合同的单位。</w:t>
      </w:r>
    </w:p>
  </w:footnote>
  <w:footnote w:id="4">
    <w:p>
      <w:pPr>
        <w:pStyle w:val="22"/>
        <w:spacing w:line="240" w:lineRule="auto"/>
        <w:ind w:firstLine="360"/>
        <w:rPr>
          <w:rFonts w:hint="eastAsia"/>
        </w:rPr>
      </w:pPr>
      <w:r>
        <w:rPr>
          <w:rStyle w:val="29"/>
        </w:rPr>
        <w:footnoteRef/>
      </w:r>
      <w:r>
        <w:t xml:space="preserve"> </w:t>
      </w:r>
      <w:r>
        <w:rPr>
          <w:rFonts w:hint="eastAsia"/>
        </w:rPr>
        <w:t>内容包括但不限于单位缴费总额、当期划入职工个人账户的比例、企业账户留存比例。如果设置补偿机制，还需明确补偿缴费留存比例、补偿缴费分配办法、补偿缴费划入职工个人账户的方式。其中单位缴费比例必须为确定的数值，不得以范围代替。</w:t>
      </w:r>
    </w:p>
  </w:footnote>
  <w:footnote w:id="5">
    <w:p>
      <w:pPr>
        <w:pStyle w:val="22"/>
        <w:ind w:firstLine="360"/>
        <w:rPr>
          <w:rFonts w:hint="eastAsia"/>
        </w:rPr>
      </w:pPr>
      <w:r>
        <w:rPr>
          <w:rStyle w:val="29"/>
        </w:rPr>
        <w:footnoteRef/>
      </w:r>
      <w:r>
        <w:t xml:space="preserve"> </w:t>
      </w:r>
      <w:r>
        <w:rPr>
          <w:rFonts w:hint="eastAsia"/>
        </w:rPr>
        <w:t>非集团公司和将内部调动视同外部调动的集团公司删除本款。</w:t>
      </w:r>
    </w:p>
  </w:footnote>
  <w:footnote w:id="6">
    <w:p>
      <w:pPr>
        <w:pStyle w:val="22"/>
        <w:spacing w:line="240" w:lineRule="auto"/>
        <w:ind w:firstLine="360"/>
        <w:rPr>
          <w:rFonts w:hint="eastAsia"/>
        </w:rPr>
      </w:pPr>
      <w:r>
        <w:rPr>
          <w:rStyle w:val="29"/>
        </w:rPr>
        <w:footnoteRef/>
      </w:r>
      <w:r>
        <w:t xml:space="preserve"> </w:t>
      </w:r>
      <w:r>
        <w:rPr>
          <w:rFonts w:hint="eastAsia"/>
        </w:rPr>
        <w:t>应按照集团公司企业年金方案要求确定具体归属规则。</w:t>
      </w:r>
    </w:p>
  </w:footnote>
  <w:footnote w:id="7">
    <w:p>
      <w:pPr>
        <w:pStyle w:val="22"/>
        <w:spacing w:line="240" w:lineRule="auto"/>
        <w:ind w:firstLine="360"/>
        <w:rPr>
          <w:rFonts w:hint="eastAsia"/>
        </w:rPr>
      </w:pPr>
      <w:r>
        <w:rPr>
          <w:rStyle w:val="29"/>
        </w:rPr>
        <w:footnoteRef/>
      </w:r>
      <w:r>
        <w:t xml:space="preserve"> </w:t>
      </w:r>
      <w:r>
        <w:rPr>
          <w:rFonts w:hint="eastAsia"/>
        </w:rPr>
        <w:t>用人单位可列明其他特殊情况的归属比例，例如由于用人单位原因解除劳动合同或劳动合同不续签造成职工离职时，归属比例为100%；集团公司内部调动时，归属比例为100%。</w:t>
      </w:r>
    </w:p>
  </w:footnote>
  <w:footnote w:id="8">
    <w:p>
      <w:pPr>
        <w:pStyle w:val="22"/>
        <w:spacing w:line="240" w:lineRule="auto"/>
        <w:ind w:firstLine="360"/>
        <w:rPr>
          <w:rFonts w:hint="eastAsia"/>
        </w:rPr>
      </w:pPr>
      <w:r>
        <w:rPr>
          <w:rStyle w:val="29"/>
        </w:rPr>
        <w:footnoteRef/>
      </w:r>
      <w:r>
        <w:t xml:space="preserve"> </w:t>
      </w:r>
      <w:r>
        <w:rPr>
          <w:rFonts w:hint="eastAsia"/>
        </w:rPr>
        <w:t>用人单位可以自行确定个人账户中单位缴费累计权益的归属条件，例如在本单位的工作年限、参加本细则的年限或其他条件。</w:t>
      </w:r>
    </w:p>
  </w:footnote>
  <w:footnote w:id="9">
    <w:p>
      <w:pPr>
        <w:pStyle w:val="22"/>
        <w:spacing w:line="240" w:lineRule="auto"/>
        <w:ind w:firstLine="360"/>
        <w:rPr>
          <w:rFonts w:hint="eastAsia"/>
        </w:rPr>
      </w:pPr>
      <w:r>
        <w:rPr>
          <w:rStyle w:val="29"/>
        </w:rPr>
        <w:footnoteRef/>
      </w:r>
      <w:r>
        <w:t xml:space="preserve"> </w:t>
      </w:r>
      <w:r>
        <w:rPr>
          <w:rFonts w:hint="eastAsia"/>
        </w:rPr>
        <w:t>未设置补偿缴费的用人单位，删除本条。</w:t>
      </w:r>
    </w:p>
  </w:footnote>
  <w:footnote w:id="10">
    <w:p>
      <w:pPr>
        <w:pStyle w:val="22"/>
        <w:ind w:firstLine="360"/>
        <w:rPr>
          <w:rFonts w:hint="eastAsia"/>
        </w:rPr>
      </w:pPr>
      <w:r>
        <w:rPr>
          <w:rStyle w:val="29"/>
        </w:rPr>
        <w:footnoteRef/>
      </w:r>
      <w:r>
        <w:t xml:space="preserve"> </w:t>
      </w:r>
      <w:r>
        <w:rPr>
          <w:rFonts w:hint="eastAsia"/>
        </w:rPr>
        <w:t>代表职工与受托人签订受托管理合同的单位。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22"/>
    <w:footnote w:id="23"/>
  </w:footnotePr>
  <w:endnotePr>
    <w:endnote w:id="0"/>
    <w:endnote w:id="1"/>
  </w:endnotePr>
  <w:compat>
    <w:spaceForUL/>
    <w:balanceSingleByteDoubleByteWidth/>
    <w:doNotLeaveBackslashAlone/>
    <w:adjustLineHeightInTable/>
    <w:useFELayout/>
    <w:compatSetting w:name="compatibilityMode" w:uri="http://schemas.microsoft.com/office/word" w:val="12"/>
  </w:compat>
  <w:docVars>
    <w:docVar w:name="commondata" w:val="eyJoZGlkIjoiY2ZjN2QyYjVkZmU3ZjE4MDcyNTkxYTg0OGFlYzhhOTUifQ=="/>
  </w:docVars>
  <w:rsids>
    <w:rsidRoot w:val="00172A27"/>
    <w:rsid w:val="00085AB2"/>
    <w:rsid w:val="000B2940"/>
    <w:rsid w:val="000B750D"/>
    <w:rsid w:val="00172A27"/>
    <w:rsid w:val="00204AFC"/>
    <w:rsid w:val="00295190"/>
    <w:rsid w:val="002A155D"/>
    <w:rsid w:val="002C03DB"/>
    <w:rsid w:val="003041FB"/>
    <w:rsid w:val="0038745A"/>
    <w:rsid w:val="003B1E96"/>
    <w:rsid w:val="003D6964"/>
    <w:rsid w:val="003E6745"/>
    <w:rsid w:val="004464F5"/>
    <w:rsid w:val="004F2647"/>
    <w:rsid w:val="005058DF"/>
    <w:rsid w:val="005D5CAB"/>
    <w:rsid w:val="00612A6B"/>
    <w:rsid w:val="00631796"/>
    <w:rsid w:val="0065325B"/>
    <w:rsid w:val="006E68BE"/>
    <w:rsid w:val="00752891"/>
    <w:rsid w:val="007A4A68"/>
    <w:rsid w:val="008231A9"/>
    <w:rsid w:val="008811A4"/>
    <w:rsid w:val="009131B1"/>
    <w:rsid w:val="00926DA3"/>
    <w:rsid w:val="00936C44"/>
    <w:rsid w:val="00966900"/>
    <w:rsid w:val="00994688"/>
    <w:rsid w:val="009A7B3F"/>
    <w:rsid w:val="009C6CE8"/>
    <w:rsid w:val="00A12C8B"/>
    <w:rsid w:val="00AB31E5"/>
    <w:rsid w:val="00B87073"/>
    <w:rsid w:val="00BA1C1B"/>
    <w:rsid w:val="00BC7092"/>
    <w:rsid w:val="00BD6953"/>
    <w:rsid w:val="00BF3E62"/>
    <w:rsid w:val="00C22740"/>
    <w:rsid w:val="00C25B9A"/>
    <w:rsid w:val="00D2053F"/>
    <w:rsid w:val="00D234E8"/>
    <w:rsid w:val="00E32B35"/>
    <w:rsid w:val="00E64DA7"/>
    <w:rsid w:val="00E85ACE"/>
    <w:rsid w:val="00EA334E"/>
    <w:rsid w:val="00EE70F9"/>
    <w:rsid w:val="00F15719"/>
    <w:rsid w:val="00F23598"/>
    <w:rsid w:val="00F61A16"/>
    <w:rsid w:val="209C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Calibri" w:hAnsi="Calibri" w:eastAsia="仿宋_GB2312" w:cs="Times New Roman"/>
      <w:sz w:val="32"/>
      <w:lang w:val="en-US" w:eastAsia="zh-CN" w:bidi="ar-SA"/>
    </w:rPr>
  </w:style>
  <w:style w:type="paragraph" w:styleId="2">
    <w:name w:val="heading 1"/>
    <w:basedOn w:val="1"/>
    <w:next w:val="1"/>
    <w:link w:val="40"/>
    <w:qFormat/>
    <w:uiPriority w:val="0"/>
    <w:pPr>
      <w:keepNext/>
      <w:keepLines/>
      <w:spacing w:beforeLines="100" w:afterLines="100"/>
      <w:ind w:firstLine="0" w:firstLineChars="0"/>
      <w:jc w:val="center"/>
      <w:outlineLvl w:val="0"/>
    </w:pPr>
    <w:rPr>
      <w:rFonts w:eastAsia="宋体"/>
      <w:b/>
      <w:bCs/>
      <w:kern w:val="44"/>
      <w:sz w:val="44"/>
      <w:szCs w:val="44"/>
    </w:rPr>
  </w:style>
  <w:style w:type="paragraph" w:styleId="3">
    <w:name w:val="heading 2"/>
    <w:basedOn w:val="1"/>
    <w:next w:val="1"/>
    <w:link w:val="41"/>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42"/>
    <w:qFormat/>
    <w:uiPriority w:val="0"/>
    <w:pPr>
      <w:keepNext/>
      <w:keepLines/>
      <w:spacing w:beforeLines="100" w:afterLines="100"/>
      <w:ind w:firstLine="0" w:firstLineChars="0"/>
      <w:jc w:val="center"/>
      <w:outlineLvl w:val="2"/>
    </w:pPr>
    <w:rPr>
      <w:rFonts w:eastAsia="黑体"/>
      <w:b/>
      <w:bCs/>
      <w:szCs w:val="32"/>
    </w:rPr>
  </w:style>
  <w:style w:type="paragraph" w:styleId="5">
    <w:name w:val="heading 5"/>
    <w:basedOn w:val="1"/>
    <w:next w:val="1"/>
    <w:link w:val="43"/>
    <w:qFormat/>
    <w:uiPriority w:val="0"/>
    <w:pPr>
      <w:keepNext/>
      <w:keepLines/>
      <w:spacing w:before="280" w:after="290" w:line="376" w:lineRule="atLeast"/>
      <w:outlineLvl w:val="4"/>
    </w:pPr>
    <w:rPr>
      <w:b/>
      <w:bCs/>
      <w:sz w:val="28"/>
      <w:szCs w:val="28"/>
    </w:rPr>
  </w:style>
  <w:style w:type="paragraph" w:styleId="6">
    <w:name w:val="heading 6"/>
    <w:basedOn w:val="1"/>
    <w:next w:val="1"/>
    <w:link w:val="36"/>
    <w:qFormat/>
    <w:uiPriority w:val="0"/>
    <w:pPr>
      <w:keepNext/>
      <w:keepLines/>
      <w:spacing w:before="240" w:after="64" w:line="320" w:lineRule="atLeast"/>
      <w:outlineLvl w:val="5"/>
    </w:pPr>
    <w:rPr>
      <w:rFonts w:ascii="Cambria" w:hAnsi="Cambria" w:eastAsia="宋体"/>
      <w:b/>
      <w:bCs/>
      <w:sz w:val="24"/>
      <w:szCs w:val="24"/>
    </w:rPr>
  </w:style>
  <w:style w:type="paragraph" w:styleId="7">
    <w:name w:val="heading 7"/>
    <w:basedOn w:val="1"/>
    <w:next w:val="1"/>
    <w:link w:val="48"/>
    <w:qFormat/>
    <w:uiPriority w:val="0"/>
    <w:pPr>
      <w:keepNext/>
      <w:keepLines/>
      <w:spacing w:before="240" w:after="64" w:line="320" w:lineRule="atLeast"/>
      <w:outlineLvl w:val="6"/>
    </w:pPr>
    <w:rPr>
      <w:b/>
      <w:bCs/>
      <w:sz w:val="24"/>
      <w:szCs w:val="24"/>
    </w:rPr>
  </w:style>
  <w:style w:type="paragraph" w:styleId="8">
    <w:name w:val="heading 8"/>
    <w:basedOn w:val="1"/>
    <w:next w:val="1"/>
    <w:link w:val="47"/>
    <w:qFormat/>
    <w:uiPriority w:val="0"/>
    <w:pPr>
      <w:keepNext/>
      <w:keepLines/>
      <w:spacing w:before="240" w:after="64" w:line="320" w:lineRule="atLeast"/>
      <w:outlineLvl w:val="7"/>
    </w:pPr>
    <w:rPr>
      <w:rFonts w:ascii="Cambria" w:hAnsi="Cambria" w:eastAsia="宋体"/>
      <w:sz w:val="24"/>
      <w:szCs w:val="24"/>
    </w:rPr>
  </w:style>
  <w:style w:type="paragraph" w:styleId="9">
    <w:name w:val="heading 9"/>
    <w:basedOn w:val="1"/>
    <w:next w:val="1"/>
    <w:link w:val="44"/>
    <w:qFormat/>
    <w:uiPriority w:val="0"/>
    <w:pPr>
      <w:keepNext/>
      <w:keepLines/>
      <w:spacing w:before="240" w:after="64" w:line="320" w:lineRule="atLeast"/>
      <w:outlineLvl w:val="8"/>
    </w:pPr>
    <w:rPr>
      <w:rFonts w:ascii="Cambria" w:hAnsi="Cambria" w:eastAsia="宋体"/>
      <w:szCs w:val="21"/>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caption"/>
    <w:basedOn w:val="1"/>
    <w:next w:val="1"/>
    <w:qFormat/>
    <w:uiPriority w:val="0"/>
    <w:rPr>
      <w:rFonts w:ascii="Cambria" w:hAnsi="Cambria" w:eastAsia="黑体"/>
      <w:sz w:val="20"/>
    </w:rPr>
  </w:style>
  <w:style w:type="paragraph" w:styleId="12">
    <w:name w:val="annotation text"/>
    <w:basedOn w:val="1"/>
    <w:link w:val="37"/>
    <w:qFormat/>
    <w:uiPriority w:val="0"/>
    <w:pPr>
      <w:jc w:val="left"/>
    </w:pPr>
    <w:rPr>
      <w:rFonts w:ascii="Times New Roman" w:hAnsi="Times New Roman"/>
      <w:kern w:val="2"/>
      <w:sz w:val="24"/>
    </w:rPr>
  </w:style>
  <w:style w:type="paragraph" w:styleId="13">
    <w:name w:val="Body Text"/>
    <w:basedOn w:val="1"/>
    <w:link w:val="46"/>
    <w:qFormat/>
    <w:uiPriority w:val="0"/>
    <w:pPr>
      <w:ind w:firstLine="0" w:firstLineChars="0"/>
    </w:pPr>
    <w:rPr>
      <w:rFonts w:ascii="Times New Roman" w:hAnsi="Times New Roman"/>
      <w:kern w:val="2"/>
      <w:sz w:val="24"/>
    </w:rPr>
  </w:style>
  <w:style w:type="paragraph" w:styleId="14">
    <w:name w:val="toc 5"/>
    <w:basedOn w:val="1"/>
    <w:next w:val="1"/>
    <w:qFormat/>
    <w:uiPriority w:val="0"/>
    <w:pPr>
      <w:ind w:left="1680" w:leftChars="800"/>
    </w:pPr>
  </w:style>
  <w:style w:type="paragraph" w:styleId="15">
    <w:name w:val="toc 3"/>
    <w:basedOn w:val="1"/>
    <w:next w:val="1"/>
    <w:qFormat/>
    <w:uiPriority w:val="0"/>
    <w:pPr>
      <w:ind w:left="840" w:leftChars="400"/>
    </w:pPr>
  </w:style>
  <w:style w:type="paragraph" w:styleId="16">
    <w:name w:val="toc 8"/>
    <w:basedOn w:val="1"/>
    <w:next w:val="1"/>
    <w:qFormat/>
    <w:uiPriority w:val="0"/>
    <w:pPr>
      <w:ind w:left="2940" w:leftChars="1400"/>
    </w:pPr>
  </w:style>
  <w:style w:type="paragraph" w:styleId="17">
    <w:name w:val="Balloon Text"/>
    <w:basedOn w:val="1"/>
    <w:link w:val="49"/>
    <w:qFormat/>
    <w:uiPriority w:val="0"/>
    <w:pPr>
      <w:spacing w:line="240" w:lineRule="auto"/>
    </w:pPr>
    <w:rPr>
      <w:rFonts w:ascii="Times New Roman" w:hAnsi="Times New Roman"/>
      <w:kern w:val="2"/>
      <w:sz w:val="18"/>
      <w:szCs w:val="18"/>
    </w:rPr>
  </w:style>
  <w:style w:type="paragraph" w:styleId="18">
    <w:name w:val="footer"/>
    <w:basedOn w:val="1"/>
    <w:link w:val="45"/>
    <w:qFormat/>
    <w:uiPriority w:val="0"/>
    <w:pPr>
      <w:tabs>
        <w:tab w:val="center" w:pos="4153"/>
        <w:tab w:val="right" w:pos="8306"/>
      </w:tabs>
      <w:spacing w:line="240" w:lineRule="auto"/>
      <w:jc w:val="left"/>
    </w:pPr>
    <w:rPr>
      <w:rFonts w:ascii="Times New Roman" w:hAnsi="Times New Roman"/>
      <w:kern w:val="2"/>
      <w:sz w:val="18"/>
    </w:rPr>
  </w:style>
  <w:style w:type="paragraph" w:styleId="19">
    <w:name w:val="header"/>
    <w:basedOn w:val="1"/>
    <w:link w:val="39"/>
    <w:qFormat/>
    <w:uiPriority w:val="0"/>
    <w:pPr>
      <w:pBdr>
        <w:bottom w:val="single" w:color="auto" w:sz="6" w:space="1"/>
      </w:pBdr>
      <w:tabs>
        <w:tab w:val="center" w:pos="4153"/>
        <w:tab w:val="right" w:pos="8306"/>
      </w:tabs>
      <w:spacing w:line="240" w:lineRule="auto"/>
      <w:ind w:firstLine="0" w:firstLineChars="0"/>
      <w:jc w:val="center"/>
    </w:pPr>
    <w:rPr>
      <w:rFonts w:ascii="Times New Roman" w:hAnsi="Times New Roman"/>
      <w:kern w:val="2"/>
      <w:sz w:val="18"/>
    </w:rPr>
  </w:style>
  <w:style w:type="paragraph" w:styleId="20">
    <w:name w:val="toc 1"/>
    <w:basedOn w:val="1"/>
    <w:next w:val="1"/>
    <w:qFormat/>
    <w:uiPriority w:val="0"/>
  </w:style>
  <w:style w:type="paragraph" w:styleId="21">
    <w:name w:val="toc 4"/>
    <w:basedOn w:val="1"/>
    <w:next w:val="1"/>
    <w:qFormat/>
    <w:uiPriority w:val="0"/>
    <w:pPr>
      <w:ind w:left="1260" w:leftChars="600"/>
    </w:pPr>
  </w:style>
  <w:style w:type="paragraph" w:styleId="22">
    <w:name w:val="footnote text"/>
    <w:basedOn w:val="1"/>
    <w:qFormat/>
    <w:uiPriority w:val="0"/>
    <w:pPr>
      <w:jc w:val="left"/>
    </w:pPr>
    <w:rPr>
      <w:sz w:val="18"/>
    </w:rPr>
  </w:style>
  <w:style w:type="paragraph" w:styleId="23">
    <w:name w:val="toc 6"/>
    <w:basedOn w:val="1"/>
    <w:next w:val="1"/>
    <w:qFormat/>
    <w:uiPriority w:val="0"/>
    <w:pPr>
      <w:ind w:left="2100" w:leftChars="1000"/>
    </w:pPr>
  </w:style>
  <w:style w:type="paragraph" w:styleId="24">
    <w:name w:val="toc 2"/>
    <w:basedOn w:val="1"/>
    <w:next w:val="1"/>
    <w:uiPriority w:val="0"/>
    <w:pPr>
      <w:ind w:left="420" w:leftChars="200"/>
    </w:pPr>
  </w:style>
  <w:style w:type="paragraph" w:styleId="25">
    <w:name w:val="toc 9"/>
    <w:basedOn w:val="1"/>
    <w:next w:val="1"/>
    <w:qFormat/>
    <w:uiPriority w:val="0"/>
    <w:pPr>
      <w:ind w:left="3360" w:leftChars="1600"/>
    </w:pPr>
  </w:style>
  <w:style w:type="character" w:styleId="28">
    <w:name w:val="Hyperlink"/>
    <w:qFormat/>
    <w:uiPriority w:val="0"/>
    <w:rPr>
      <w:color w:val="0000FF"/>
      <w:u w:val="single"/>
    </w:rPr>
  </w:style>
  <w:style w:type="character" w:styleId="29">
    <w:name w:val="footnote reference"/>
    <w:basedOn w:val="27"/>
    <w:uiPriority w:val="0"/>
    <w:rPr>
      <w:vertAlign w:val="superscript"/>
    </w:rPr>
  </w:style>
  <w:style w:type="character" w:customStyle="1" w:styleId="30">
    <w:name w:val="文档结构图 Char"/>
    <w:link w:val="31"/>
    <w:uiPriority w:val="0"/>
    <w:rPr>
      <w:rFonts w:ascii="宋体"/>
      <w:kern w:val="2"/>
      <w:sz w:val="18"/>
      <w:szCs w:val="18"/>
    </w:rPr>
  </w:style>
  <w:style w:type="paragraph" w:customStyle="1" w:styleId="31">
    <w:name w:val="文档结构图1"/>
    <w:basedOn w:val="1"/>
    <w:link w:val="30"/>
    <w:qFormat/>
    <w:uiPriority w:val="0"/>
    <w:rPr>
      <w:rFonts w:ascii="宋体" w:hAnsi="Times New Roman" w:eastAsia="宋体"/>
      <w:kern w:val="2"/>
      <w:sz w:val="18"/>
      <w:szCs w:val="18"/>
    </w:rPr>
  </w:style>
  <w:style w:type="character" w:customStyle="1" w:styleId="32">
    <w:name w:val="纯文本 Char"/>
    <w:link w:val="33"/>
    <w:uiPriority w:val="0"/>
    <w:rPr>
      <w:rFonts w:ascii="宋体" w:hAnsi="Courier New" w:eastAsia="宋体" w:cs="Times New Roman"/>
      <w:kern w:val="2"/>
      <w:sz w:val="21"/>
      <w:lang w:val="en-US" w:eastAsia="zh-CN"/>
    </w:rPr>
  </w:style>
  <w:style w:type="paragraph" w:customStyle="1" w:styleId="33">
    <w:name w:val="纯文本1"/>
    <w:basedOn w:val="1"/>
    <w:link w:val="32"/>
    <w:qFormat/>
    <w:uiPriority w:val="0"/>
    <w:pPr>
      <w:spacing w:line="240" w:lineRule="auto"/>
      <w:ind w:firstLine="0" w:firstLineChars="0"/>
    </w:pPr>
    <w:rPr>
      <w:rFonts w:ascii="宋体" w:hAnsi="Courier New" w:eastAsia="宋体"/>
      <w:kern w:val="2"/>
      <w:sz w:val="21"/>
    </w:rPr>
  </w:style>
  <w:style w:type="character" w:customStyle="1" w:styleId="34">
    <w:name w:val="批注主题 Char"/>
    <w:link w:val="35"/>
    <w:uiPriority w:val="0"/>
    <w:rPr>
      <w:rFonts w:eastAsia="仿宋_GB2312" w:cs="Times New Roman"/>
      <w:b/>
      <w:bCs/>
      <w:kern w:val="2"/>
      <w:sz w:val="24"/>
      <w:szCs w:val="24"/>
      <w:lang w:val="en-US" w:eastAsia="zh-CN"/>
    </w:rPr>
  </w:style>
  <w:style w:type="paragraph" w:customStyle="1" w:styleId="35">
    <w:name w:val="批注主题1"/>
    <w:basedOn w:val="12"/>
    <w:next w:val="12"/>
    <w:link w:val="34"/>
    <w:qFormat/>
    <w:uiPriority w:val="0"/>
    <w:rPr>
      <w:b/>
      <w:bCs/>
      <w:szCs w:val="24"/>
    </w:rPr>
  </w:style>
  <w:style w:type="character" w:customStyle="1" w:styleId="36">
    <w:name w:val="标题 6 Char"/>
    <w:basedOn w:val="27"/>
    <w:link w:val="6"/>
    <w:qFormat/>
    <w:uiPriority w:val="0"/>
    <w:rPr>
      <w:rFonts w:ascii="Cambria" w:hAnsi="Cambria" w:eastAsia="宋体" w:cs="Times New Roman"/>
      <w:b/>
      <w:bCs/>
      <w:sz w:val="24"/>
      <w:szCs w:val="24"/>
    </w:rPr>
  </w:style>
  <w:style w:type="character" w:customStyle="1" w:styleId="37">
    <w:name w:val="批注文字 Char"/>
    <w:link w:val="12"/>
    <w:qFormat/>
    <w:uiPriority w:val="0"/>
    <w:rPr>
      <w:rFonts w:eastAsia="仿宋_GB2312" w:cs="Times New Roman"/>
      <w:kern w:val="2"/>
      <w:sz w:val="24"/>
      <w:lang w:val="en-US" w:eastAsia="zh-CN"/>
    </w:rPr>
  </w:style>
  <w:style w:type="character" w:customStyle="1" w:styleId="38">
    <w:name w:val="批注引用1"/>
    <w:qFormat/>
    <w:uiPriority w:val="0"/>
    <w:rPr>
      <w:rFonts w:cs="Times New Roman"/>
      <w:sz w:val="21"/>
    </w:rPr>
  </w:style>
  <w:style w:type="character" w:customStyle="1" w:styleId="39">
    <w:name w:val="页眉 Char"/>
    <w:link w:val="19"/>
    <w:qFormat/>
    <w:uiPriority w:val="0"/>
    <w:rPr>
      <w:rFonts w:eastAsia="仿宋_GB2312" w:cs="Times New Roman"/>
      <w:kern w:val="2"/>
      <w:sz w:val="18"/>
      <w:lang w:val="en-US" w:eastAsia="zh-CN"/>
    </w:rPr>
  </w:style>
  <w:style w:type="character" w:customStyle="1" w:styleId="40">
    <w:name w:val="标题 1 Char"/>
    <w:basedOn w:val="27"/>
    <w:link w:val="2"/>
    <w:qFormat/>
    <w:uiPriority w:val="0"/>
    <w:rPr>
      <w:rFonts w:ascii="Calibri" w:hAnsi="Calibri" w:eastAsia="宋体"/>
      <w:b/>
      <w:bCs/>
      <w:kern w:val="44"/>
      <w:sz w:val="44"/>
      <w:szCs w:val="44"/>
      <w:lang w:val="en-US" w:eastAsia="zh-CN"/>
    </w:rPr>
  </w:style>
  <w:style w:type="character" w:customStyle="1" w:styleId="41">
    <w:name w:val="标题 2 Char"/>
    <w:basedOn w:val="27"/>
    <w:link w:val="3"/>
    <w:qFormat/>
    <w:uiPriority w:val="0"/>
    <w:rPr>
      <w:rFonts w:ascii="Cambria" w:hAnsi="Cambria" w:eastAsia="宋体" w:cs="Times New Roman"/>
      <w:b/>
      <w:bCs/>
      <w:sz w:val="32"/>
      <w:szCs w:val="32"/>
    </w:rPr>
  </w:style>
  <w:style w:type="character" w:customStyle="1" w:styleId="42">
    <w:name w:val="标题 3 Char"/>
    <w:basedOn w:val="27"/>
    <w:link w:val="4"/>
    <w:qFormat/>
    <w:uiPriority w:val="0"/>
    <w:rPr>
      <w:rFonts w:eastAsia="黑体"/>
      <w:b/>
      <w:bCs/>
      <w:sz w:val="32"/>
      <w:szCs w:val="32"/>
    </w:rPr>
  </w:style>
  <w:style w:type="character" w:customStyle="1" w:styleId="43">
    <w:name w:val="标题 5 Char"/>
    <w:basedOn w:val="27"/>
    <w:link w:val="5"/>
    <w:qFormat/>
    <w:uiPriority w:val="0"/>
    <w:rPr>
      <w:rFonts w:ascii="Calibri" w:hAnsi="Calibri" w:eastAsia="仿宋_GB2312"/>
      <w:b/>
      <w:bCs/>
      <w:sz w:val="28"/>
      <w:szCs w:val="28"/>
    </w:rPr>
  </w:style>
  <w:style w:type="character" w:customStyle="1" w:styleId="44">
    <w:name w:val="标题 9 Char"/>
    <w:basedOn w:val="27"/>
    <w:link w:val="9"/>
    <w:qFormat/>
    <w:uiPriority w:val="0"/>
    <w:rPr>
      <w:rFonts w:ascii="Cambria" w:hAnsi="Cambria" w:eastAsia="宋体" w:cs="Times New Roman"/>
      <w:szCs w:val="21"/>
    </w:rPr>
  </w:style>
  <w:style w:type="character" w:customStyle="1" w:styleId="45">
    <w:name w:val="页脚 Char"/>
    <w:link w:val="18"/>
    <w:qFormat/>
    <w:uiPriority w:val="0"/>
    <w:rPr>
      <w:rFonts w:eastAsia="仿宋_GB2312" w:cs="Times New Roman"/>
      <w:kern w:val="2"/>
      <w:sz w:val="18"/>
      <w:lang w:val="en-US" w:eastAsia="zh-CN"/>
    </w:rPr>
  </w:style>
  <w:style w:type="character" w:customStyle="1" w:styleId="46">
    <w:name w:val="正文文本 Char"/>
    <w:link w:val="13"/>
    <w:qFormat/>
    <w:uiPriority w:val="0"/>
    <w:rPr>
      <w:rFonts w:eastAsia="仿宋_GB2312" w:cs="Times New Roman"/>
      <w:kern w:val="2"/>
      <w:sz w:val="24"/>
      <w:lang w:val="en-US" w:eastAsia="zh-CN"/>
    </w:rPr>
  </w:style>
  <w:style w:type="character" w:customStyle="1" w:styleId="47">
    <w:name w:val="标题 8 Char"/>
    <w:basedOn w:val="27"/>
    <w:link w:val="8"/>
    <w:qFormat/>
    <w:uiPriority w:val="0"/>
    <w:rPr>
      <w:rFonts w:ascii="Cambria" w:hAnsi="Cambria" w:eastAsia="宋体" w:cs="Times New Roman"/>
      <w:sz w:val="24"/>
      <w:szCs w:val="24"/>
    </w:rPr>
  </w:style>
  <w:style w:type="character" w:customStyle="1" w:styleId="48">
    <w:name w:val="标题 7 Char"/>
    <w:basedOn w:val="27"/>
    <w:link w:val="7"/>
    <w:qFormat/>
    <w:uiPriority w:val="0"/>
    <w:rPr>
      <w:rFonts w:ascii="Calibri" w:hAnsi="Calibri" w:eastAsia="仿宋_GB2312"/>
      <w:b/>
      <w:bCs/>
      <w:sz w:val="24"/>
      <w:szCs w:val="24"/>
    </w:rPr>
  </w:style>
  <w:style w:type="character" w:customStyle="1" w:styleId="49">
    <w:name w:val="批注框文本 Char"/>
    <w:link w:val="17"/>
    <w:qFormat/>
    <w:uiPriority w:val="0"/>
    <w:rPr>
      <w:rFonts w:eastAsia="仿宋_GB2312"/>
      <w:kern w:val="2"/>
      <w:sz w:val="18"/>
      <w:szCs w:val="18"/>
    </w:rPr>
  </w:style>
  <w:style w:type="character" w:customStyle="1" w:styleId="50">
    <w:name w:val="页码1"/>
    <w:basedOn w:val="27"/>
    <w:qFormat/>
    <w:uiPriority w:val="0"/>
    <w:rPr>
      <w:rFonts w:cs="Times New Roman"/>
    </w:rPr>
  </w:style>
  <w:style w:type="paragraph" w:customStyle="1" w:styleId="51">
    <w:name w:val="修订1"/>
    <w:qFormat/>
    <w:uiPriority w:val="0"/>
    <w:rPr>
      <w:rFonts w:ascii="Times New Roman" w:hAnsi="Times New Roman" w:eastAsia="仿宋_GB2312" w:cs="Times New Roman"/>
      <w:kern w:val="2"/>
      <w:sz w:val="32"/>
      <w:szCs w:val="24"/>
      <w:lang w:val="en-US" w:eastAsia="zh-CN" w:bidi="ar-SA"/>
    </w:rPr>
  </w:style>
  <w:style w:type="paragraph" w:customStyle="1" w:styleId="52">
    <w:name w:val="列出段落1"/>
    <w:basedOn w:val="1"/>
    <w:uiPriority w:val="0"/>
  </w:style>
  <w:style w:type="paragraph" w:customStyle="1" w:styleId="53">
    <w:name w:val="TOC 标题1"/>
    <w:basedOn w:val="2"/>
    <w:next w:val="1"/>
    <w:qFormat/>
    <w:uiPriority w:val="0"/>
    <w:pPr>
      <w:spacing w:line="578" w:lineRule="atLeast"/>
      <w:ind w:firstLine="200" w:firstLineChars="200"/>
      <w:jc w:val="both"/>
      <w:outlineLvl w:val="9"/>
    </w:pPr>
    <w:rPr>
      <w:rFonts w:eastAsia="仿宋_GB2312"/>
    </w:rPr>
  </w:style>
  <w:style w:type="paragraph" w:customStyle="1" w:styleId="54">
    <w:name w:val="普通(网站)1"/>
    <w:basedOn w:val="1"/>
    <w:qFormat/>
    <w:uiPriority w:val="0"/>
    <w:pPr>
      <w:widowControl/>
      <w:spacing w:before="100" w:beforeAutospacing="1" w:after="100" w:afterAutospacing="1" w:line="240" w:lineRule="auto"/>
      <w:ind w:firstLine="0" w:firstLineChars="0"/>
      <w:jc w:val="left"/>
    </w:pPr>
    <w:rPr>
      <w:rFonts w:ascii="宋体" w:hAnsi="宋体" w:eastAsia="宋体" w:cs="宋体"/>
      <w:sz w:val="24"/>
    </w:rPr>
  </w:style>
  <w:style w:type="paragraph" w:customStyle="1" w:styleId="55">
    <w:name w:val="Char Char Char Char"/>
    <w:basedOn w:val="1"/>
    <w:qFormat/>
    <w:uiPriority w:val="0"/>
    <w:pPr>
      <w:tabs>
        <w:tab w:val="left" w:pos="425"/>
      </w:tabs>
      <w:spacing w:line="240" w:lineRule="auto"/>
      <w:ind w:left="425" w:hanging="425" w:firstLineChars="0"/>
    </w:pPr>
    <w:rPr>
      <w:rFonts w:ascii="宋体" w:hAnsi="宋体" w:eastAsia="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9EB1C-1ED2-4A49-B41E-6DD4654FFB79}">
  <ds:schemaRefs/>
</ds:datastoreItem>
</file>

<file path=docProps/app.xml><?xml version="1.0" encoding="utf-8"?>
<Properties xmlns="http://schemas.openxmlformats.org/officeDocument/2006/extended-properties" xmlns:vt="http://schemas.openxmlformats.org/officeDocument/2006/docPropsVTypes">
  <Template>Normal</Template>
  <Pages>18</Pages>
  <Words>5923</Words>
  <Characters>5955</Characters>
  <Lines>57</Lines>
  <Paragraphs>16</Paragraphs>
  <TotalTime>2</TotalTime>
  <ScaleCrop>false</ScaleCrop>
  <LinksUpToDate>false</LinksUpToDate>
  <CharactersWithSpaces>6917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2019-10-14T01:27:00Z</dcterms:created>
  <dc:creator>wangtingting</dc:creator>
  <cp:lastModifiedBy>演示人</cp:lastModifiedBy>
  <cp:lastPrinted>2014-05-05T23:57:00Z</cp:lastPrinted>
  <dcterms:modified xsi:type="dcterms:W3CDTF">2024-07-22T08:54:28Z</dcterms:modified>
  <dc:title>企业年金方案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3A1DBD3E42D54C0B830BF90491788C6D_12</vt:lpwstr>
  </property>
</Properties>
</file>